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A9" w:rsidRDefault="00E815B8" w:rsidP="001007F4">
      <w:pPr>
        <w:spacing w:after="0" w:line="240" w:lineRule="auto"/>
        <w:jc w:val="center"/>
        <w:rPr>
          <w:rFonts w:ascii="Bookman Old Style" w:eastAsia="Times New Roman" w:hAnsi="Bookman Old Style" w:cs="Arial"/>
          <w:b/>
          <w:bCs/>
          <w:color w:val="333333"/>
          <w:lang w:eastAsia="en-IN"/>
        </w:rPr>
      </w:pPr>
      <w:r w:rsidRPr="00736260">
        <w:rPr>
          <w:rFonts w:ascii="Bookman Old Style" w:eastAsia="Times New Roman" w:hAnsi="Bookman Old Style" w:cs="Arial"/>
          <w:b/>
          <w:bCs/>
          <w:color w:val="333333"/>
          <w:lang w:eastAsia="en-IN"/>
        </w:rPr>
        <w:t>MEMORANDUM SUBMITTED TO THE 8</w:t>
      </w:r>
      <w:r w:rsidRPr="00736260">
        <w:rPr>
          <w:rFonts w:ascii="Bookman Old Style" w:eastAsia="Times New Roman" w:hAnsi="Bookman Old Style" w:cs="Arial"/>
          <w:b/>
          <w:bCs/>
          <w:color w:val="333333"/>
          <w:vertAlign w:val="superscript"/>
          <w:lang w:eastAsia="en-IN"/>
        </w:rPr>
        <w:t xml:space="preserve">TH </w:t>
      </w:r>
      <w:r w:rsidRPr="00736260">
        <w:rPr>
          <w:rFonts w:ascii="Bookman Old Style" w:eastAsia="Times New Roman" w:hAnsi="Bookman Old Style" w:cs="Arial"/>
          <w:b/>
          <w:bCs/>
          <w:color w:val="333333"/>
          <w:lang w:eastAsia="en-IN"/>
        </w:rPr>
        <w:t>CENTRAL PAY COMMISSION BY THE P</w:t>
      </w:r>
      <w:r w:rsidR="0080316D" w:rsidRPr="00736260">
        <w:rPr>
          <w:rFonts w:ascii="Bookman Old Style" w:eastAsia="Times New Roman" w:hAnsi="Bookman Old Style" w:cs="Arial"/>
          <w:b/>
          <w:bCs/>
          <w:color w:val="333333"/>
          <w:lang w:eastAsia="en-IN"/>
        </w:rPr>
        <w:t>OSTS AND TELECOMMUNICATIONS ACCOUNTS AND FINANCE OFFICERS ASSOCIATION</w:t>
      </w:r>
    </w:p>
    <w:p w:rsidR="007658A9" w:rsidRDefault="007658A9" w:rsidP="00973012">
      <w:pPr>
        <w:spacing w:after="0" w:line="240" w:lineRule="auto"/>
        <w:jc w:val="both"/>
        <w:rPr>
          <w:rFonts w:ascii="Bookman Old Style" w:eastAsia="Times New Roman" w:hAnsi="Bookman Old Style" w:cs="Arial"/>
          <w:b/>
          <w:bCs/>
          <w:color w:val="333333"/>
          <w:lang w:eastAsia="en-IN"/>
        </w:rPr>
      </w:pPr>
    </w:p>
    <w:p w:rsidR="007658A9" w:rsidRDefault="006E0D05" w:rsidP="001007F4">
      <w:pPr>
        <w:pBdr>
          <w:bottom w:val="single" w:sz="6" w:space="1" w:color="auto"/>
        </w:pBdr>
        <w:spacing w:after="0" w:line="240" w:lineRule="auto"/>
        <w:ind w:firstLine="720"/>
        <w:jc w:val="both"/>
        <w:rPr>
          <w:rFonts w:ascii="Bookman Old Style" w:hAnsi="Bookman Old Style"/>
          <w:b/>
        </w:rPr>
      </w:pPr>
      <w:r w:rsidRPr="00736260">
        <w:rPr>
          <w:rFonts w:ascii="Bookman Old Style" w:hAnsi="Bookman Old Style"/>
          <w:b/>
        </w:rPr>
        <w:t>We represent the Assistant Accou</w:t>
      </w:r>
      <w:r w:rsidR="00A51C43" w:rsidRPr="00736260">
        <w:rPr>
          <w:rFonts w:ascii="Bookman Old Style" w:hAnsi="Bookman Old Style"/>
          <w:b/>
        </w:rPr>
        <w:t xml:space="preserve">nts Officers, Accounts Officers, </w:t>
      </w:r>
      <w:r w:rsidRPr="00736260">
        <w:rPr>
          <w:rFonts w:ascii="Bookman Old Style" w:hAnsi="Bookman Old Style"/>
          <w:b/>
        </w:rPr>
        <w:t>Senior Accounts Officers</w:t>
      </w:r>
      <w:r w:rsidR="00A51C43" w:rsidRPr="00736260">
        <w:rPr>
          <w:rFonts w:ascii="Bookman Old Style" w:hAnsi="Bookman Old Style"/>
          <w:b/>
        </w:rPr>
        <w:t xml:space="preserve"> and all</w:t>
      </w:r>
      <w:r w:rsidR="008C3665" w:rsidRPr="00736260">
        <w:rPr>
          <w:rFonts w:ascii="Bookman Old Style" w:hAnsi="Bookman Old Style"/>
          <w:b/>
        </w:rPr>
        <w:t xml:space="preserve"> </w:t>
      </w:r>
      <w:proofErr w:type="spellStart"/>
      <w:r w:rsidR="008C3665" w:rsidRPr="00736260">
        <w:rPr>
          <w:rFonts w:ascii="Bookman Old Style" w:hAnsi="Bookman Old Style"/>
          <w:b/>
        </w:rPr>
        <w:t>Promotee</w:t>
      </w:r>
      <w:proofErr w:type="spellEnd"/>
      <w:r w:rsidR="00A51C43" w:rsidRPr="00736260">
        <w:rPr>
          <w:rFonts w:ascii="Bookman Old Style" w:hAnsi="Bookman Old Style"/>
          <w:b/>
        </w:rPr>
        <w:t xml:space="preserve"> IPTAFS Group </w:t>
      </w:r>
      <w:proofErr w:type="gramStart"/>
      <w:r w:rsidR="00A51C43" w:rsidRPr="00736260">
        <w:rPr>
          <w:rFonts w:ascii="Bookman Old Style" w:hAnsi="Bookman Old Style"/>
          <w:b/>
        </w:rPr>
        <w:t>A</w:t>
      </w:r>
      <w:proofErr w:type="gramEnd"/>
      <w:r w:rsidR="00A51C43" w:rsidRPr="00736260">
        <w:rPr>
          <w:rFonts w:ascii="Bookman Old Style" w:hAnsi="Bookman Old Style"/>
          <w:b/>
        </w:rPr>
        <w:t xml:space="preserve"> Officers </w:t>
      </w:r>
      <w:r w:rsidRPr="00736260">
        <w:rPr>
          <w:rFonts w:ascii="Bookman Old Style" w:hAnsi="Bookman Old Style"/>
          <w:b/>
        </w:rPr>
        <w:t>of the Departments of Posts and Telecommunications, forming part of the Organized Accounts Cadre, and present their collective concerns.</w:t>
      </w:r>
    </w:p>
    <w:p w:rsidR="007658A9" w:rsidRDefault="007658A9" w:rsidP="00973012">
      <w:pPr>
        <w:spacing w:after="0" w:line="240" w:lineRule="auto"/>
        <w:jc w:val="both"/>
        <w:rPr>
          <w:rFonts w:ascii="Bookman Old Style" w:eastAsia="Times New Roman" w:hAnsi="Bookman Old Style" w:cs="Times New Roman"/>
          <w:lang w:eastAsia="en-IN"/>
        </w:rPr>
      </w:pPr>
    </w:p>
    <w:p w:rsidR="00C45DB9" w:rsidRPr="007658A9" w:rsidRDefault="007658A9" w:rsidP="00973012">
      <w:pPr>
        <w:spacing w:after="0" w:line="240" w:lineRule="auto"/>
        <w:jc w:val="both"/>
        <w:rPr>
          <w:rFonts w:ascii="Bookman Old Style" w:eastAsia="Times New Roman" w:hAnsi="Bookman Old Style" w:cs="Times New Roman"/>
          <w:b/>
          <w:lang w:eastAsia="en-IN"/>
        </w:rPr>
      </w:pPr>
      <w:r w:rsidRPr="007658A9">
        <w:rPr>
          <w:rFonts w:ascii="Bookman Old Style" w:eastAsia="Times New Roman" w:hAnsi="Bookman Old Style" w:cs="Times New Roman"/>
          <w:b/>
          <w:highlight w:val="yellow"/>
          <w:lang w:eastAsia="en-IN"/>
        </w:rPr>
        <w:t xml:space="preserve">1- </w:t>
      </w:r>
      <w:r w:rsidR="00C45DB9" w:rsidRPr="007658A9">
        <w:rPr>
          <w:rFonts w:ascii="Bookman Old Style" w:eastAsia="Times New Roman" w:hAnsi="Bookman Old Style" w:cs="Arial"/>
          <w:b/>
          <w:bCs/>
          <w:color w:val="333333"/>
          <w:highlight w:val="yellow"/>
          <w:lang w:eastAsia="en-IN"/>
        </w:rPr>
        <w:t>Pay Matters</w:t>
      </w:r>
    </w:p>
    <w:p w:rsidR="004414F2" w:rsidRDefault="00C45DB9" w:rsidP="004414F2">
      <w:pPr>
        <w:shd w:val="clear" w:color="auto" w:fill="FFFFFF"/>
        <w:spacing w:after="0" w:line="240" w:lineRule="auto"/>
        <w:jc w:val="both"/>
        <w:rPr>
          <w:rFonts w:ascii="Bookman Old Style" w:eastAsia="Times New Roman" w:hAnsi="Bookman Old Style" w:cs="Arial"/>
          <w:b/>
          <w:bCs/>
          <w:color w:val="333333"/>
          <w:lang w:eastAsia="en-IN"/>
        </w:rPr>
      </w:pPr>
      <w:r w:rsidRPr="00736260">
        <w:rPr>
          <w:rFonts w:ascii="Bookman Old Style" w:eastAsia="Times New Roman" w:hAnsi="Bookman Old Style" w:cs="Arial"/>
          <w:b/>
          <w:bCs/>
          <w:color w:val="333333"/>
          <w:highlight w:val="yellow"/>
          <w:lang w:eastAsia="en-IN"/>
        </w:rPr>
        <w:t>Q1. What concerns / views do you have related to pay matters</w:t>
      </w:r>
      <w:r w:rsidR="00EE4959">
        <w:rPr>
          <w:rFonts w:ascii="Bookman Old Style" w:eastAsia="Times New Roman" w:hAnsi="Bookman Old Style" w:cs="Arial"/>
          <w:b/>
          <w:bCs/>
          <w:color w:val="333333"/>
          <w:lang w:eastAsia="en-IN"/>
        </w:rPr>
        <w:t xml:space="preserve"> </w:t>
      </w:r>
      <w:r w:rsidR="00EA7BD8">
        <w:rPr>
          <w:rFonts w:ascii="Bookman Old Style" w:eastAsia="Times New Roman" w:hAnsi="Bookman Old Style" w:cs="Arial"/>
          <w:b/>
          <w:bCs/>
          <w:color w:val="333333"/>
          <w:lang w:eastAsia="en-IN"/>
        </w:rPr>
        <w:t>(1</w:t>
      </w:r>
      <w:r w:rsidR="003E1D3E">
        <w:rPr>
          <w:rFonts w:ascii="Bookman Old Style" w:eastAsia="Times New Roman" w:hAnsi="Bookman Old Style" w:cs="Arial"/>
          <w:b/>
          <w:bCs/>
          <w:color w:val="333333"/>
          <w:lang w:eastAsia="en-IN"/>
        </w:rPr>
        <w:t>9677</w:t>
      </w:r>
      <w:r w:rsidR="00EA7BD8">
        <w:rPr>
          <w:rFonts w:ascii="Bookman Old Style" w:eastAsia="Times New Roman" w:hAnsi="Bookman Old Style" w:cs="Arial"/>
          <w:b/>
          <w:bCs/>
          <w:color w:val="333333"/>
          <w:lang w:eastAsia="en-IN"/>
        </w:rPr>
        <w:t xml:space="preserve"> Characters wi</w:t>
      </w:r>
      <w:r w:rsidR="00B40DAD">
        <w:rPr>
          <w:rFonts w:ascii="Bookman Old Style" w:eastAsia="Times New Roman" w:hAnsi="Bookman Old Style" w:cs="Arial"/>
          <w:b/>
          <w:bCs/>
          <w:color w:val="333333"/>
          <w:lang w:eastAsia="en-IN"/>
        </w:rPr>
        <w:t xml:space="preserve">thout Annexure and </w:t>
      </w:r>
      <w:r w:rsidR="00870FE1">
        <w:rPr>
          <w:rFonts w:ascii="Bookman Old Style" w:eastAsia="Times New Roman" w:hAnsi="Bookman Old Style" w:cs="Arial"/>
          <w:b/>
          <w:bCs/>
          <w:color w:val="333333"/>
          <w:lang w:eastAsia="en-IN"/>
        </w:rPr>
        <w:t>5695</w:t>
      </w:r>
      <w:r w:rsidR="00EA7BD8">
        <w:rPr>
          <w:rFonts w:ascii="Bookman Old Style" w:eastAsia="Times New Roman" w:hAnsi="Bookman Old Style" w:cs="Arial"/>
          <w:b/>
          <w:bCs/>
          <w:color w:val="333333"/>
          <w:lang w:eastAsia="en-IN"/>
        </w:rPr>
        <w:t xml:space="preserve"> Characters </w:t>
      </w:r>
      <w:r w:rsidR="00870FE1">
        <w:rPr>
          <w:rFonts w:ascii="Bookman Old Style" w:eastAsia="Times New Roman" w:hAnsi="Bookman Old Style" w:cs="Arial"/>
          <w:b/>
          <w:bCs/>
          <w:color w:val="333333"/>
          <w:lang w:eastAsia="en-IN"/>
        </w:rPr>
        <w:t>contained in</w:t>
      </w:r>
      <w:r w:rsidR="00EA7BD8">
        <w:rPr>
          <w:rFonts w:ascii="Bookman Old Style" w:eastAsia="Times New Roman" w:hAnsi="Bookman Old Style" w:cs="Arial"/>
          <w:b/>
          <w:bCs/>
          <w:color w:val="333333"/>
          <w:lang w:eastAsia="en-IN"/>
        </w:rPr>
        <w:t xml:space="preserve"> Annexures I, II &amp; III</w:t>
      </w:r>
      <w:r w:rsidR="00F538F9">
        <w:rPr>
          <w:rFonts w:ascii="Bookman Old Style" w:eastAsia="Times New Roman" w:hAnsi="Bookman Old Style" w:cs="Arial"/>
          <w:b/>
          <w:bCs/>
          <w:color w:val="333333"/>
          <w:lang w:eastAsia="en-IN"/>
        </w:rPr>
        <w:t xml:space="preserve"> submitted separately as attachment pdf</w:t>
      </w:r>
      <w:r w:rsidR="00EA7BD8">
        <w:rPr>
          <w:rFonts w:ascii="Bookman Old Style" w:eastAsia="Times New Roman" w:hAnsi="Bookman Old Style" w:cs="Arial"/>
          <w:b/>
          <w:bCs/>
          <w:color w:val="333333"/>
          <w:lang w:eastAsia="en-IN"/>
        </w:rPr>
        <w:t>)</w:t>
      </w:r>
    </w:p>
    <w:p w:rsidR="004414F2" w:rsidRDefault="004414F2" w:rsidP="004414F2">
      <w:pPr>
        <w:shd w:val="clear" w:color="auto" w:fill="FFFFFF"/>
        <w:spacing w:after="0" w:line="240" w:lineRule="auto"/>
        <w:jc w:val="both"/>
        <w:rPr>
          <w:rFonts w:ascii="Bookman Old Style" w:eastAsia="Times New Roman" w:hAnsi="Bookman Old Style" w:cs="Arial"/>
          <w:b/>
          <w:bCs/>
          <w:color w:val="333333"/>
          <w:lang w:eastAsia="en-IN"/>
        </w:rPr>
      </w:pPr>
    </w:p>
    <w:p w:rsidR="005E67AD" w:rsidRPr="004414F2" w:rsidRDefault="005E67AD" w:rsidP="004414F2">
      <w:pPr>
        <w:shd w:val="clear" w:color="auto" w:fill="FFFFFF"/>
        <w:spacing w:after="0" w:line="240" w:lineRule="auto"/>
        <w:jc w:val="both"/>
        <w:rPr>
          <w:rFonts w:ascii="Bookman Old Style" w:eastAsia="Times New Roman" w:hAnsi="Bookman Old Style" w:cs="Arial"/>
          <w:b/>
          <w:bCs/>
          <w:color w:val="333333"/>
          <w:sz w:val="32"/>
          <w:szCs w:val="32"/>
          <w:lang w:eastAsia="en-IN"/>
        </w:rPr>
      </w:pPr>
      <w:r w:rsidRPr="004414F2">
        <w:rPr>
          <w:rFonts w:ascii="Bookman Old Style" w:hAnsi="Bookman Old Style"/>
          <w:b/>
        </w:rPr>
        <w:t>1.1 FITMENT FACTOR</w:t>
      </w:r>
      <w:r w:rsidR="00B0380C" w:rsidRPr="004414F2">
        <w:rPr>
          <w:rFonts w:ascii="Bookman Old Style" w:hAnsi="Bookman Old Style"/>
          <w:b/>
        </w:rPr>
        <w:t xml:space="preserve"> AND </w:t>
      </w:r>
      <w:r w:rsidR="005C4286" w:rsidRPr="004414F2">
        <w:rPr>
          <w:rFonts w:ascii="Bookman Old Style" w:hAnsi="Bookman Old Style"/>
          <w:b/>
        </w:rPr>
        <w:t xml:space="preserve">OTHER </w:t>
      </w:r>
      <w:r w:rsidR="00B0380C" w:rsidRPr="004414F2">
        <w:rPr>
          <w:rFonts w:ascii="Bookman Old Style" w:hAnsi="Bookman Old Style"/>
          <w:b/>
        </w:rPr>
        <w:t>PAY MATTERS</w:t>
      </w:r>
    </w:p>
    <w:p w:rsidR="00575829" w:rsidRPr="00736260" w:rsidRDefault="00575829" w:rsidP="00575829">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We fully support and endorse the recommendations put forward by the Staff Side of the National Council (JCM) on pay-related issues. In line with these, we reiterate the following demands:</w:t>
      </w:r>
    </w:p>
    <w:p w:rsidR="00575829" w:rsidRPr="00736260" w:rsidRDefault="00575829" w:rsidP="003B439D">
      <w:pPr>
        <w:pStyle w:val="ListParagraph"/>
        <w:numPr>
          <w:ilvl w:val="0"/>
          <w:numId w:val="36"/>
        </w:num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The minimum pay of a Central Government employee should be fixed at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 xml:space="preserve">69,000. </w:t>
      </w:r>
    </w:p>
    <w:p w:rsidR="00575829" w:rsidRPr="00736260" w:rsidRDefault="00575829" w:rsidP="00575829">
      <w:pPr>
        <w:numPr>
          <w:ilvl w:val="0"/>
          <w:numId w:val="35"/>
        </w:num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A fitment factor of 3.833 should be applied for all existing employees. </w:t>
      </w:r>
    </w:p>
    <w:p w:rsidR="00575829" w:rsidRPr="00736260" w:rsidRDefault="00575829" w:rsidP="00575829">
      <w:pPr>
        <w:numPr>
          <w:ilvl w:val="0"/>
          <w:numId w:val="35"/>
        </w:num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The rate of annual increment should be enhanced from 3% to 6% of the Basic Pay. </w:t>
      </w:r>
    </w:p>
    <w:p w:rsidR="00575829" w:rsidRPr="00736260" w:rsidRDefault="00575829" w:rsidP="00575829">
      <w:p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(Justification: Memorandum submitted by the Staff Side of the JCM dated 14.04.2026)</w:t>
      </w:r>
    </w:p>
    <w:p w:rsidR="003B439D" w:rsidRPr="00736260" w:rsidRDefault="003B439D" w:rsidP="00575829">
      <w:pPr>
        <w:spacing w:after="0" w:line="240" w:lineRule="auto"/>
        <w:jc w:val="both"/>
        <w:rPr>
          <w:rFonts w:ascii="Bookman Old Style" w:eastAsia="Times New Roman" w:hAnsi="Bookman Old Style" w:cs="Times New Roman"/>
          <w:lang w:eastAsia="en-IN"/>
        </w:rPr>
      </w:pPr>
    </w:p>
    <w:p w:rsidR="00EE444D" w:rsidRPr="00736260" w:rsidRDefault="00CC1E5B" w:rsidP="00EE444D">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 xml:space="preserve">Before presenting our specific pay-related demands, we consider it appropriate to briefly outline the historical evolution of the Posts and Telecommunications Accounts. Historically, the audit and accounts functions of the Government of India were combined under the </w:t>
      </w:r>
      <w:r w:rsidRPr="00736260">
        <w:rPr>
          <w:rStyle w:val="whitespace-normal"/>
          <w:rFonts w:ascii="Bookman Old Style" w:hAnsi="Bookman Old Style"/>
          <w:sz w:val="22"/>
          <w:szCs w:val="22"/>
        </w:rPr>
        <w:t>Comptroller and Auditor General of India</w:t>
      </w:r>
      <w:r w:rsidRPr="00736260">
        <w:rPr>
          <w:rFonts w:ascii="Bookman Old Style" w:hAnsi="Bookman Old Style"/>
          <w:sz w:val="22"/>
          <w:szCs w:val="22"/>
        </w:rPr>
        <w:t>. The Indian Posts and Telecommunications Accounts and Finance Service was constituted in 1972 to manage the financial, accounting and internal audit functions of the Posts and Telecommunications sector.</w:t>
      </w:r>
      <w:r w:rsidR="00EE444D" w:rsidRPr="00736260">
        <w:rPr>
          <w:rFonts w:ascii="Bookman Old Style" w:hAnsi="Bookman Old Style"/>
          <w:sz w:val="22"/>
          <w:szCs w:val="22"/>
        </w:rPr>
        <w:t xml:space="preserve"> </w:t>
      </w:r>
      <w:r w:rsidRPr="00736260">
        <w:rPr>
          <w:rStyle w:val="whitespace-normal"/>
          <w:rFonts w:ascii="Bookman Old Style" w:hAnsi="Bookman Old Style"/>
          <w:sz w:val="22"/>
          <w:szCs w:val="22"/>
        </w:rPr>
        <w:t>Article 149 of the Constitution of India</w:t>
      </w:r>
      <w:r w:rsidRPr="00736260">
        <w:rPr>
          <w:rFonts w:ascii="Bookman Old Style" w:hAnsi="Bookman Old Style"/>
          <w:sz w:val="22"/>
          <w:szCs w:val="22"/>
        </w:rPr>
        <w:t xml:space="preserve"> provides that the Comptroller and Auditor-General shall perform such duties and exercise such powers in relation to the accounts of the Union and the States as may be prescribed by law made by Parliament. In the years following Independence, this mandate encompassed both accounting and audit functions under a unified framework.</w:t>
      </w:r>
      <w:r w:rsidR="00EE444D" w:rsidRPr="00736260">
        <w:rPr>
          <w:rFonts w:ascii="Bookman Old Style" w:hAnsi="Bookman Old Style"/>
          <w:sz w:val="22"/>
          <w:szCs w:val="22"/>
        </w:rPr>
        <w:t xml:space="preserve"> </w:t>
      </w:r>
      <w:r w:rsidRPr="00736260">
        <w:rPr>
          <w:rFonts w:ascii="Bookman Old Style" w:hAnsi="Bookman Old Style"/>
          <w:sz w:val="22"/>
          <w:szCs w:val="22"/>
        </w:rPr>
        <w:t>Subsequently, with the departmentalisation of accounts in 1976, the accounting functions of the Union Government were separated from audit and transferred to the respective Ministries and Departments. Consequently, the responsibility for maintaining the accounts of the Central Government is now vested in the concerned Accounts organisations, while the Comptroller and Auditor-General continues to discharge the constitutional responsibility of external audit.</w:t>
      </w:r>
      <w:r w:rsidR="00EE444D" w:rsidRPr="00736260">
        <w:rPr>
          <w:rFonts w:ascii="Bookman Old Style" w:hAnsi="Bookman Old Style"/>
          <w:sz w:val="22"/>
          <w:szCs w:val="22"/>
        </w:rPr>
        <w:t xml:space="preserve"> </w:t>
      </w:r>
      <w:r w:rsidRPr="00736260">
        <w:rPr>
          <w:rFonts w:ascii="Bookman Old Style" w:hAnsi="Bookman Old Style"/>
          <w:sz w:val="22"/>
          <w:szCs w:val="22"/>
        </w:rPr>
        <w:t xml:space="preserve"> </w:t>
      </w:r>
    </w:p>
    <w:p w:rsidR="008C36E1" w:rsidRPr="00736260" w:rsidRDefault="008C36E1" w:rsidP="008C36E1">
      <w:pPr>
        <w:spacing w:after="0" w:line="240" w:lineRule="auto"/>
        <w:ind w:firstLine="720"/>
        <w:jc w:val="both"/>
        <w:rPr>
          <w:rFonts w:ascii="Bookman Old Style" w:eastAsia="Times New Roman" w:hAnsi="Bookman Old Style" w:cs="Times New Roman"/>
          <w:sz w:val="24"/>
          <w:szCs w:val="24"/>
          <w:lang w:eastAsia="en-IN"/>
        </w:rPr>
      </w:pPr>
      <w:r w:rsidRPr="00736260">
        <w:rPr>
          <w:rFonts w:ascii="Bookman Old Style" w:eastAsia="Times New Roman" w:hAnsi="Bookman Old Style" w:cs="Times New Roman"/>
          <w:sz w:val="24"/>
          <w:szCs w:val="24"/>
          <w:lang w:eastAsia="en-IN"/>
        </w:rPr>
        <w:t xml:space="preserve">The Accounts and Finance Wings in the Department of Posts and the Department of Telecommunications discharge critical statutory and financial management functions integral to the governance framework. These include preparation, compilation, consolidation and submission of accounts; reconciliation and maintenance of accounts; formulation of budget estimates; monitoring and control of budget utilisation; and conduct of internal audit of both revenue and expenditure. The cadres also perform the functions of Internal Financial Adviser, ensuring financial scrutiny, expenditure control, and adherence to delegated financial powers. They are responsible for </w:t>
      </w:r>
      <w:r w:rsidRPr="00736260">
        <w:rPr>
          <w:rFonts w:ascii="Bookman Old Style" w:eastAsia="Times New Roman" w:hAnsi="Bookman Old Style" w:cs="Times New Roman"/>
          <w:sz w:val="24"/>
          <w:szCs w:val="24"/>
          <w:lang w:eastAsia="en-IN"/>
        </w:rPr>
        <w:lastRenderedPageBreak/>
        <w:t>authorisation of pension and pensionary benefits, and discharge all functions of the Pay and Accounts Offices in respect of the National Pension System and Unified Pension Scheme, including subscriber management, contribution accounting, and settlement of claims.</w:t>
      </w:r>
    </w:p>
    <w:p w:rsidR="008C36E1" w:rsidRPr="00736260" w:rsidRDefault="008B26F9" w:rsidP="008B26F9">
      <w:pPr>
        <w:spacing w:after="0" w:line="240" w:lineRule="auto"/>
        <w:ind w:firstLine="720"/>
        <w:jc w:val="both"/>
        <w:rPr>
          <w:rFonts w:ascii="Bookman Old Style" w:eastAsia="Times New Roman" w:hAnsi="Bookman Old Style" w:cs="Times New Roman"/>
          <w:lang w:eastAsia="en-IN"/>
        </w:rPr>
      </w:pPr>
      <w:r w:rsidRPr="00736260">
        <w:rPr>
          <w:rFonts w:ascii="Bookman Old Style" w:hAnsi="Bookman Old Style"/>
        </w:rPr>
        <w:t>In addition, they handle bank reconciliation, financial reporting, and compliance with statutory and regulatory requirements. In the Department of Posts, the Postal Accounts Offices</w:t>
      </w:r>
      <w:r w:rsidR="003A50B9">
        <w:rPr>
          <w:rFonts w:ascii="Bookman Old Style" w:hAnsi="Bookman Old Style"/>
        </w:rPr>
        <w:t xml:space="preserve"> are going to</w:t>
      </w:r>
      <w:r w:rsidRPr="00736260">
        <w:rPr>
          <w:rFonts w:ascii="Bookman Old Style" w:hAnsi="Bookman Old Style"/>
        </w:rPr>
        <w:t xml:space="preserve"> undertake filing of GST returns on behalf of all Head Post Offices at the State/UT level, ensuring tax compliance across a vast network</w:t>
      </w:r>
      <w:r w:rsidR="008B3C7F">
        <w:rPr>
          <w:rFonts w:ascii="Bookman Old Style" w:hAnsi="Bookman Old Style"/>
        </w:rPr>
        <w:t xml:space="preserve"> </w:t>
      </w:r>
      <w:proofErr w:type="spellStart"/>
      <w:r w:rsidR="008B3C7F">
        <w:rPr>
          <w:rFonts w:ascii="Bookman Old Style" w:hAnsi="Bookman Old Style"/>
        </w:rPr>
        <w:t>w.e.f</w:t>
      </w:r>
      <w:proofErr w:type="spellEnd"/>
      <w:r w:rsidR="008B3C7F">
        <w:rPr>
          <w:rFonts w:ascii="Bookman Old Style" w:hAnsi="Bookman Old Style"/>
        </w:rPr>
        <w:t xml:space="preserve">. </w:t>
      </w:r>
      <w:r w:rsidR="00ED4577">
        <w:rPr>
          <w:rFonts w:ascii="Bookman Old Style" w:hAnsi="Bookman Old Style"/>
        </w:rPr>
        <w:t xml:space="preserve">01.07.2026 </w:t>
      </w:r>
      <w:r w:rsidR="008B3C7F">
        <w:rPr>
          <w:rFonts w:ascii="Bookman Old Style" w:hAnsi="Bookman Old Style"/>
        </w:rPr>
        <w:t xml:space="preserve">as per Postal </w:t>
      </w:r>
      <w:r w:rsidR="00ED4577">
        <w:rPr>
          <w:rFonts w:ascii="Bookman Old Style" w:hAnsi="Bookman Old Style"/>
        </w:rPr>
        <w:t>Directorate</w:t>
      </w:r>
      <w:r w:rsidR="008B3C7F">
        <w:rPr>
          <w:rFonts w:ascii="Bookman Old Style" w:hAnsi="Bookman Old Style"/>
        </w:rPr>
        <w:t xml:space="preserve"> </w:t>
      </w:r>
      <w:r w:rsidR="00ED4577">
        <w:rPr>
          <w:rFonts w:ascii="Bookman Old Style" w:hAnsi="Bookman Old Style"/>
        </w:rPr>
        <w:t>letter no. F.N. PA/Accounts/GST-2/2024-25/496</w:t>
      </w:r>
      <w:r w:rsidR="00BE764E">
        <w:rPr>
          <w:rFonts w:ascii="Bookman Old Style" w:hAnsi="Bookman Old Style"/>
        </w:rPr>
        <w:t>-541 dated 19.05.2026</w:t>
      </w:r>
      <w:r w:rsidRPr="00736260">
        <w:rPr>
          <w:rFonts w:ascii="Bookman Old Style" w:hAnsi="Bookman Old Style"/>
        </w:rPr>
        <w:t xml:space="preserve">. They are also engaged in the examination and settlement of GST-related cases, including Show Cause Notices and Orders-in-Original issued to Head Post Offices prior to the implementation of the “One State One GST” framework, thereby ensuring legacy tax compliance and resolution of outstanding liabilities. </w:t>
      </w:r>
      <w:r w:rsidR="008C36E1" w:rsidRPr="00736260">
        <w:rPr>
          <w:rFonts w:ascii="Bookman Old Style" w:eastAsia="Times New Roman" w:hAnsi="Bookman Old Style" w:cs="Times New Roman"/>
          <w:lang w:eastAsia="en-IN"/>
        </w:rPr>
        <w:t>In the Department of Telecommunications, the Accounts and Finance cadres are entrusted with assessment and realisation of government revenues such as licence fees, spectrum usage charges, and contributions to the Universal Service Obligation Fund, along with accounting and reconciliation thereof. They also play a key role in pension disbursement and accounting for retired employees.</w:t>
      </w:r>
      <w:r w:rsidR="0033782E">
        <w:rPr>
          <w:rFonts w:ascii="Bookman Old Style" w:eastAsia="Times New Roman" w:hAnsi="Bookman Old Style" w:cs="Times New Roman"/>
          <w:lang w:eastAsia="en-IN"/>
        </w:rPr>
        <w:t xml:space="preserve"> In Department of Posts also, Postal Accounts Offices who are already carrying out Pension Authorization are going to </w:t>
      </w:r>
      <w:r w:rsidR="00B459A1">
        <w:rPr>
          <w:rFonts w:ascii="Bookman Old Style" w:eastAsia="Times New Roman" w:hAnsi="Bookman Old Style" w:cs="Times New Roman"/>
          <w:lang w:eastAsia="en-IN"/>
        </w:rPr>
        <w:t xml:space="preserve">centrally disburse around 10 lakh Pension Payments </w:t>
      </w:r>
      <w:proofErr w:type="spellStart"/>
      <w:r w:rsidR="00B459A1">
        <w:rPr>
          <w:rFonts w:ascii="Bookman Old Style" w:eastAsia="Times New Roman" w:hAnsi="Bookman Old Style" w:cs="Times New Roman"/>
          <w:lang w:eastAsia="en-IN"/>
        </w:rPr>
        <w:t>w.e.f</w:t>
      </w:r>
      <w:proofErr w:type="spellEnd"/>
      <w:r w:rsidR="00B459A1">
        <w:rPr>
          <w:rFonts w:ascii="Bookman Old Style" w:eastAsia="Times New Roman" w:hAnsi="Bookman Old Style" w:cs="Times New Roman"/>
          <w:lang w:eastAsia="en-IN"/>
        </w:rPr>
        <w:t xml:space="preserve">. </w:t>
      </w:r>
      <w:r w:rsidR="00975896">
        <w:rPr>
          <w:rFonts w:ascii="Bookman Old Style" w:eastAsia="Times New Roman" w:hAnsi="Bookman Old Style" w:cs="Times New Roman"/>
          <w:lang w:eastAsia="en-IN"/>
        </w:rPr>
        <w:t>01.07.2026 as per P</w:t>
      </w:r>
      <w:r w:rsidR="00B459A1">
        <w:rPr>
          <w:rFonts w:ascii="Bookman Old Style" w:eastAsia="Times New Roman" w:hAnsi="Bookman Old Style" w:cs="Times New Roman"/>
          <w:lang w:eastAsia="en-IN"/>
        </w:rPr>
        <w:t xml:space="preserve">ostal Directorate </w:t>
      </w:r>
      <w:r w:rsidR="00975896">
        <w:rPr>
          <w:rFonts w:ascii="Bookman Old Style" w:eastAsia="Times New Roman" w:hAnsi="Bookman Old Style" w:cs="Times New Roman"/>
          <w:lang w:eastAsia="en-IN"/>
        </w:rPr>
        <w:t xml:space="preserve">letter no. </w:t>
      </w:r>
      <w:proofErr w:type="spellStart"/>
      <w:r w:rsidR="00975896">
        <w:rPr>
          <w:rFonts w:ascii="Bookman Old Style" w:eastAsia="Times New Roman" w:hAnsi="Bookman Old Style" w:cs="Times New Roman"/>
          <w:lang w:eastAsia="en-IN"/>
        </w:rPr>
        <w:t>F.No</w:t>
      </w:r>
      <w:proofErr w:type="spellEnd"/>
      <w:r w:rsidR="00975896">
        <w:rPr>
          <w:rFonts w:ascii="Bookman Old Style" w:eastAsia="Times New Roman" w:hAnsi="Bookman Old Style" w:cs="Times New Roman"/>
          <w:lang w:eastAsia="en-IN"/>
        </w:rPr>
        <w:t>. 33-01/2026-PA(PEA)/Exit Management Mod</w:t>
      </w:r>
      <w:r w:rsidR="000D292B">
        <w:rPr>
          <w:rFonts w:ascii="Bookman Old Style" w:eastAsia="Times New Roman" w:hAnsi="Bookman Old Style" w:cs="Times New Roman"/>
          <w:lang w:eastAsia="en-IN"/>
        </w:rPr>
        <w:t>ule/689 dated 18.05.2026.</w:t>
      </w:r>
    </w:p>
    <w:p w:rsidR="008C36E1" w:rsidRPr="00736260" w:rsidRDefault="008C36E1" w:rsidP="008B26F9">
      <w:pPr>
        <w:spacing w:after="0" w:line="240" w:lineRule="auto"/>
        <w:ind w:firstLine="720"/>
        <w:jc w:val="both"/>
        <w:rPr>
          <w:rFonts w:ascii="Bookman Old Style" w:eastAsia="Times New Roman" w:hAnsi="Bookman Old Style" w:cs="Times New Roman"/>
          <w:sz w:val="24"/>
          <w:szCs w:val="24"/>
          <w:lang w:eastAsia="en-IN"/>
        </w:rPr>
      </w:pPr>
      <w:r w:rsidRPr="00736260">
        <w:rPr>
          <w:rFonts w:ascii="Bookman Old Style" w:eastAsia="Times New Roman" w:hAnsi="Bookman Old Style" w:cs="Times New Roman"/>
          <w:sz w:val="24"/>
          <w:szCs w:val="24"/>
          <w:lang w:eastAsia="en-IN"/>
        </w:rPr>
        <w:t>Further, these cadres are responsible for financial advice in policy formulation, vetting of proposals, ensuring compliance with General Financial Rules and other financial regulations, handling of public fund management, preparation of financial statements, and coordination with audit authorities.</w:t>
      </w:r>
      <w:r w:rsidR="00050852" w:rsidRPr="00736260">
        <w:rPr>
          <w:rFonts w:ascii="Bookman Old Style" w:eastAsia="Times New Roman" w:hAnsi="Bookman Old Style" w:cs="Times New Roman"/>
          <w:sz w:val="24"/>
          <w:szCs w:val="24"/>
          <w:lang w:eastAsia="en-IN"/>
        </w:rPr>
        <w:t xml:space="preserve"> This Association’s </w:t>
      </w:r>
      <w:r w:rsidR="00591A08" w:rsidRPr="00736260">
        <w:rPr>
          <w:rFonts w:ascii="Bookman Old Style" w:eastAsia="Times New Roman" w:hAnsi="Bookman Old Style" w:cs="Times New Roman"/>
          <w:sz w:val="24"/>
          <w:szCs w:val="24"/>
          <w:lang w:eastAsia="en-IN"/>
        </w:rPr>
        <w:t xml:space="preserve">other </w:t>
      </w:r>
      <w:r w:rsidR="00050852" w:rsidRPr="00736260">
        <w:rPr>
          <w:rFonts w:ascii="Bookman Old Style" w:eastAsia="Times New Roman" w:hAnsi="Bookman Old Style" w:cs="Times New Roman"/>
          <w:sz w:val="24"/>
          <w:szCs w:val="24"/>
          <w:lang w:eastAsia="en-IN"/>
        </w:rPr>
        <w:t>demands are furnished below.</w:t>
      </w:r>
    </w:p>
    <w:p w:rsidR="00120986" w:rsidRPr="00736260" w:rsidRDefault="00120986" w:rsidP="00120986">
      <w:pPr>
        <w:shd w:val="clear" w:color="auto" w:fill="FFFFFF"/>
        <w:spacing w:after="0" w:line="240" w:lineRule="auto"/>
        <w:ind w:firstLine="720"/>
        <w:jc w:val="both"/>
        <w:rPr>
          <w:rFonts w:ascii="Bookman Old Style" w:eastAsia="Times New Roman" w:hAnsi="Bookman Old Style" w:cs="Arial"/>
          <w:lang w:eastAsia="en-IN"/>
        </w:rPr>
      </w:pPr>
    </w:p>
    <w:p w:rsidR="00C26CAA" w:rsidRPr="00736260" w:rsidRDefault="00C26CAA" w:rsidP="00D925C9">
      <w:pPr>
        <w:shd w:val="clear" w:color="auto" w:fill="FFFFFF"/>
        <w:spacing w:after="0" w:line="240" w:lineRule="auto"/>
        <w:jc w:val="both"/>
        <w:rPr>
          <w:rFonts w:ascii="Bookman Old Style" w:eastAsia="Times New Roman" w:hAnsi="Bookman Old Style" w:cs="Arial"/>
          <w:color w:val="333333"/>
          <w:lang w:eastAsia="en-IN"/>
        </w:rPr>
      </w:pPr>
    </w:p>
    <w:p w:rsidR="00D925C9" w:rsidRPr="00A555D1" w:rsidRDefault="001B53A5" w:rsidP="00E73D28">
      <w:pPr>
        <w:shd w:val="clear" w:color="auto" w:fill="FFFFFF"/>
        <w:spacing w:after="0" w:line="240" w:lineRule="auto"/>
        <w:jc w:val="both"/>
        <w:rPr>
          <w:rFonts w:ascii="Bookman Old Style" w:eastAsia="Times New Roman" w:hAnsi="Bookman Old Style" w:cs="Arial"/>
          <w:b/>
          <w:color w:val="333333"/>
          <w:lang w:eastAsia="en-IN"/>
        </w:rPr>
      </w:pPr>
      <w:r w:rsidRPr="00736260">
        <w:rPr>
          <w:rFonts w:ascii="Bookman Old Style" w:eastAsia="Times New Roman" w:hAnsi="Bookman Old Style" w:cs="Arial"/>
          <w:b/>
          <w:color w:val="333333"/>
          <w:lang w:eastAsia="en-IN"/>
        </w:rPr>
        <w:t>1.</w:t>
      </w:r>
      <w:r w:rsidR="000C499A" w:rsidRPr="00736260">
        <w:rPr>
          <w:rFonts w:ascii="Bookman Old Style" w:eastAsia="Times New Roman" w:hAnsi="Bookman Old Style" w:cs="Arial"/>
          <w:b/>
          <w:color w:val="333333"/>
          <w:lang w:eastAsia="en-IN"/>
        </w:rPr>
        <w:t>2</w:t>
      </w:r>
      <w:r w:rsidRPr="00736260">
        <w:rPr>
          <w:rFonts w:ascii="Bookman Old Style" w:eastAsia="Times New Roman" w:hAnsi="Bookman Old Style" w:cs="Arial"/>
          <w:b/>
          <w:color w:val="333333"/>
          <w:lang w:eastAsia="en-IN"/>
        </w:rPr>
        <w:t xml:space="preserve"> </w:t>
      </w:r>
      <w:r w:rsidR="003108C1" w:rsidRPr="00A555D1">
        <w:rPr>
          <w:rFonts w:ascii="Bookman Old Style" w:eastAsia="Times New Roman" w:hAnsi="Bookman Old Style" w:cs="Arial"/>
          <w:b/>
          <w:color w:val="333333"/>
          <w:lang w:eastAsia="en-IN"/>
        </w:rPr>
        <w:t xml:space="preserve">GRANT </w:t>
      </w:r>
      <w:r w:rsidR="00556121" w:rsidRPr="00A555D1">
        <w:rPr>
          <w:rFonts w:ascii="Bookman Old Style" w:eastAsia="Times New Roman" w:hAnsi="Bookman Old Style" w:cs="Arial"/>
          <w:b/>
          <w:color w:val="333333"/>
          <w:lang w:eastAsia="en-IN"/>
        </w:rPr>
        <w:t xml:space="preserve">PAY LEVEL 9 SUBSTANTIVELY </w:t>
      </w:r>
      <w:r w:rsidRPr="00A555D1">
        <w:rPr>
          <w:rFonts w:ascii="Bookman Old Style" w:eastAsia="Times New Roman" w:hAnsi="Bookman Old Style" w:cs="Arial"/>
          <w:b/>
          <w:color w:val="333333"/>
          <w:lang w:eastAsia="en-IN"/>
        </w:rPr>
        <w:t>TO AAOs OF ALL ORGANIZED ACCOUNTS CADRE AT PAR WITH AAOs/ADFMs IN RAILWAY ACCOUNTS</w:t>
      </w:r>
      <w:r w:rsidR="00294683">
        <w:rPr>
          <w:rFonts w:ascii="Bookman Old Style" w:eastAsia="Times New Roman" w:hAnsi="Bookman Old Style" w:cs="Arial"/>
          <w:b/>
          <w:color w:val="333333"/>
          <w:lang w:eastAsia="en-IN"/>
        </w:rPr>
        <w:t xml:space="preserve"> </w:t>
      </w:r>
      <w:r w:rsidR="007771C0">
        <w:rPr>
          <w:rFonts w:ascii="Bookman Old Style" w:eastAsia="Times New Roman" w:hAnsi="Bookman Old Style" w:cs="Arial"/>
          <w:b/>
          <w:color w:val="333333"/>
          <w:lang w:eastAsia="en-IN"/>
        </w:rPr>
        <w:t>WITH NFU AT LEVEL 10</w:t>
      </w:r>
    </w:p>
    <w:p w:rsidR="00380667" w:rsidRDefault="002723EC" w:rsidP="00C0217F">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The Organized Accounts Cadres—P&amp;T, Civil, Defence,</w:t>
      </w:r>
      <w:r w:rsidR="004529C3">
        <w:rPr>
          <w:rFonts w:ascii="Bookman Old Style" w:eastAsia="Times New Roman" w:hAnsi="Bookman Old Style" w:cs="Times New Roman"/>
          <w:lang w:eastAsia="en-IN"/>
        </w:rPr>
        <w:t xml:space="preserve"> Railways</w:t>
      </w:r>
      <w:r w:rsidRPr="00736260">
        <w:rPr>
          <w:rFonts w:ascii="Bookman Old Style" w:eastAsia="Times New Roman" w:hAnsi="Bookman Old Style" w:cs="Times New Roman"/>
          <w:lang w:eastAsia="en-IN"/>
        </w:rPr>
        <w:t xml:space="preserve"> and IA&amp;AD—originate from a common lineage, having been carved out of the Indian Audit and Accounts Department following the Departmentalization of Union Accounts Act, 1976. These cadres perform identical statutory functions, including maintaining Public Accounts, conducting internal or statutory audits of large public expenditures, and providing financial advice to executive authorities. Assistant Accounts Officers (AAOs), including Assistant Financial Advisers (AFAs) in Railways, are recruited through the same Subordinate Accounts Service (SAS) examination or equivalent systems. Their qualification standards, subjects, and professional requirements are uniform across departments.</w:t>
      </w:r>
      <w:r w:rsidR="00C0217F">
        <w:rPr>
          <w:rFonts w:ascii="Bookman Old Style" w:eastAsia="Times New Roman" w:hAnsi="Bookman Old Style" w:cs="Times New Roman"/>
          <w:lang w:eastAsia="en-IN"/>
        </w:rPr>
        <w:t xml:space="preserve"> </w:t>
      </w:r>
      <w:r w:rsidRPr="00736260">
        <w:rPr>
          <w:rFonts w:ascii="Bookman Old Style" w:eastAsia="Times New Roman" w:hAnsi="Bookman Old Style" w:cs="Times New Roman"/>
          <w:lang w:eastAsia="en-IN"/>
        </w:rPr>
        <w:t>Their duties—such as budget monitoring, pension authorization, and management of NPS/UPS</w:t>
      </w:r>
      <w:r w:rsidR="00616096" w:rsidRPr="00736260">
        <w:rPr>
          <w:rFonts w:ascii="Bookman Old Style" w:eastAsia="Times New Roman" w:hAnsi="Bookman Old Style" w:cs="Times New Roman"/>
          <w:lang w:eastAsia="en-IN"/>
        </w:rPr>
        <w:t>, Internal Audit/ Statutory Audit, Internal Financial Advice, Compilation and Submission of Accounts</w:t>
      </w:r>
      <w:r w:rsidR="00542160" w:rsidRPr="00736260">
        <w:rPr>
          <w:rFonts w:ascii="Bookman Old Style" w:eastAsia="Times New Roman" w:hAnsi="Bookman Old Style" w:cs="Times New Roman"/>
          <w:lang w:eastAsia="en-IN"/>
        </w:rPr>
        <w:t xml:space="preserve">, etc., </w:t>
      </w:r>
      <w:r w:rsidRPr="00736260">
        <w:rPr>
          <w:rFonts w:ascii="Bookman Old Style" w:eastAsia="Times New Roman" w:hAnsi="Bookman Old Style" w:cs="Times New Roman"/>
          <w:lang w:eastAsia="en-IN"/>
        </w:rPr>
        <w:t xml:space="preserve">are functionally interchangeable, with only minor sectoral differences. From the 3rd to the 7th </w:t>
      </w:r>
      <w:r w:rsidR="00814462">
        <w:rPr>
          <w:rFonts w:ascii="Bookman Old Style" w:eastAsia="Times New Roman" w:hAnsi="Bookman Old Style" w:cs="Times New Roman"/>
          <w:lang w:eastAsia="en-IN"/>
        </w:rPr>
        <w:t>CPC</w:t>
      </w:r>
      <w:r w:rsidRPr="00736260">
        <w:rPr>
          <w:rFonts w:ascii="Bookman Old Style" w:eastAsia="Times New Roman" w:hAnsi="Bookman Old Style" w:cs="Times New Roman"/>
          <w:lang w:eastAsia="en-IN"/>
        </w:rPr>
        <w:t xml:space="preserve">, there has been consistent emphasis on maintaining absolute pay parity among Organized Accounts Cadres. </w:t>
      </w:r>
    </w:p>
    <w:p w:rsidR="00C00396" w:rsidRDefault="00F4718B" w:rsidP="00C0217F">
      <w:pPr>
        <w:spacing w:after="0" w:line="240" w:lineRule="auto"/>
        <w:ind w:firstLine="720"/>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The </w:t>
      </w:r>
      <w:r w:rsidR="00C00396">
        <w:rPr>
          <w:rFonts w:ascii="Bookman Old Style" w:eastAsia="Times New Roman" w:hAnsi="Bookman Old Style" w:cs="Times New Roman"/>
          <w:lang w:eastAsia="en-IN"/>
        </w:rPr>
        <w:t xml:space="preserve">hierarchical structure of Accounts/Audit Posts in Organized Accounts Cadre </w:t>
      </w:r>
      <w:proofErr w:type="spellStart"/>
      <w:r w:rsidR="00C00396">
        <w:rPr>
          <w:rFonts w:ascii="Bookman Old Style" w:eastAsia="Times New Roman" w:hAnsi="Bookman Old Style" w:cs="Times New Roman"/>
          <w:lang w:eastAsia="en-IN"/>
        </w:rPr>
        <w:t>upto</w:t>
      </w:r>
      <w:proofErr w:type="spellEnd"/>
      <w:r w:rsidR="00C00396">
        <w:rPr>
          <w:rFonts w:ascii="Bookman Old Style" w:eastAsia="Times New Roman" w:hAnsi="Bookman Old Style" w:cs="Times New Roman"/>
          <w:lang w:eastAsia="en-IN"/>
        </w:rPr>
        <w:t xml:space="preserve"> 5</w:t>
      </w:r>
      <w:r w:rsidR="00C00396" w:rsidRPr="00C00396">
        <w:rPr>
          <w:rFonts w:ascii="Bookman Old Style" w:eastAsia="Times New Roman" w:hAnsi="Bookman Old Style" w:cs="Times New Roman"/>
          <w:vertAlign w:val="superscript"/>
          <w:lang w:eastAsia="en-IN"/>
        </w:rPr>
        <w:t>th</w:t>
      </w:r>
      <w:r w:rsidR="00C00396">
        <w:rPr>
          <w:rFonts w:ascii="Bookman Old Style" w:eastAsia="Times New Roman" w:hAnsi="Bookman Old Style" w:cs="Times New Roman"/>
          <w:lang w:eastAsia="en-IN"/>
        </w:rPr>
        <w:t xml:space="preserve"> CPC is as follows.</w:t>
      </w:r>
    </w:p>
    <w:p w:rsidR="00C0217F" w:rsidRDefault="00F4718B" w:rsidP="00C0217F">
      <w:pPr>
        <w:spacing w:after="0" w:line="240" w:lineRule="auto"/>
        <w:ind w:firstLine="720"/>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 </w:t>
      </w:r>
    </w:p>
    <w:tbl>
      <w:tblPr>
        <w:tblStyle w:val="TableGrid"/>
        <w:tblW w:w="0" w:type="auto"/>
        <w:tblLook w:val="04A0" w:firstRow="1" w:lastRow="0" w:firstColumn="1" w:lastColumn="0" w:noHBand="0" w:noVBand="1"/>
      </w:tblPr>
      <w:tblGrid>
        <w:gridCol w:w="4508"/>
        <w:gridCol w:w="4508"/>
      </w:tblGrid>
      <w:tr w:rsidR="002D690A" w:rsidTr="002D690A">
        <w:tc>
          <w:tcPr>
            <w:tcW w:w="4508" w:type="dxa"/>
          </w:tcPr>
          <w:p w:rsidR="002D690A" w:rsidRPr="002D690A" w:rsidRDefault="002D690A" w:rsidP="00C0217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Category of Posts</w:t>
            </w:r>
          </w:p>
        </w:tc>
        <w:tc>
          <w:tcPr>
            <w:tcW w:w="4508" w:type="dxa"/>
          </w:tcPr>
          <w:p w:rsidR="002D690A" w:rsidRPr="002D690A" w:rsidRDefault="002D690A" w:rsidP="00C0217F">
            <w:pPr>
              <w:jc w:val="both"/>
              <w:rPr>
                <w:rFonts w:ascii="Bookman Old Style" w:eastAsia="Times New Roman" w:hAnsi="Bookman Old Style" w:cs="Times New Roman"/>
                <w:b/>
                <w:lang w:eastAsia="en-IN"/>
              </w:rPr>
            </w:pPr>
            <w:r w:rsidRPr="002D690A">
              <w:rPr>
                <w:rFonts w:ascii="Bookman Old Style" w:eastAsia="Times New Roman" w:hAnsi="Bookman Old Style" w:cs="Times New Roman"/>
                <w:b/>
                <w:lang w:eastAsia="en-IN"/>
              </w:rPr>
              <w:t>5</w:t>
            </w:r>
            <w:r w:rsidRPr="002D690A">
              <w:rPr>
                <w:rFonts w:ascii="Bookman Old Style" w:eastAsia="Times New Roman" w:hAnsi="Bookman Old Style" w:cs="Times New Roman"/>
                <w:b/>
                <w:vertAlign w:val="superscript"/>
                <w:lang w:eastAsia="en-IN"/>
              </w:rPr>
              <w:t>th</w:t>
            </w:r>
            <w:r w:rsidRPr="002D690A">
              <w:rPr>
                <w:rFonts w:ascii="Bookman Old Style" w:eastAsia="Times New Roman" w:hAnsi="Bookman Old Style" w:cs="Times New Roman"/>
                <w:b/>
                <w:lang w:eastAsia="en-IN"/>
              </w:rPr>
              <w:t xml:space="preserve"> CPC Pay Scales</w:t>
            </w:r>
          </w:p>
        </w:tc>
      </w:tr>
      <w:tr w:rsidR="002D690A" w:rsidTr="002D690A">
        <w:tc>
          <w:tcPr>
            <w:tcW w:w="4508" w:type="dxa"/>
          </w:tcPr>
          <w:p w:rsidR="002D690A" w:rsidRDefault="002D690A"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Auditor/Accountants (JA)</w:t>
            </w:r>
          </w:p>
        </w:tc>
        <w:tc>
          <w:tcPr>
            <w:tcW w:w="4508" w:type="dxa"/>
          </w:tcPr>
          <w:p w:rsidR="002D690A" w:rsidRDefault="002D690A"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4500-</w:t>
            </w:r>
            <w:r w:rsidR="00844A4B">
              <w:rPr>
                <w:rFonts w:ascii="Bookman Old Style" w:eastAsia="Times New Roman" w:hAnsi="Bookman Old Style" w:cs="Times New Roman"/>
                <w:lang w:eastAsia="en-IN"/>
              </w:rPr>
              <w:t>125-7000</w:t>
            </w:r>
          </w:p>
        </w:tc>
      </w:tr>
      <w:tr w:rsidR="002D690A" w:rsidTr="002D690A">
        <w:tc>
          <w:tcPr>
            <w:tcW w:w="4508" w:type="dxa"/>
          </w:tcPr>
          <w:p w:rsidR="002D690A" w:rsidRDefault="00844A4B"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lastRenderedPageBreak/>
              <w:t>Senior Auditor/Accountants (SA)</w:t>
            </w:r>
          </w:p>
        </w:tc>
        <w:tc>
          <w:tcPr>
            <w:tcW w:w="4508" w:type="dxa"/>
          </w:tcPr>
          <w:p w:rsidR="002D690A" w:rsidRDefault="00844A4B"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5500-175-9000</w:t>
            </w:r>
          </w:p>
        </w:tc>
      </w:tr>
      <w:tr w:rsidR="002D690A" w:rsidTr="002D690A">
        <w:tc>
          <w:tcPr>
            <w:tcW w:w="4508" w:type="dxa"/>
          </w:tcPr>
          <w:p w:rsidR="002D690A" w:rsidRDefault="00844A4B"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Section Officer (SO/JAO)</w:t>
            </w:r>
          </w:p>
        </w:tc>
        <w:tc>
          <w:tcPr>
            <w:tcW w:w="4508" w:type="dxa"/>
          </w:tcPr>
          <w:p w:rsidR="002D690A" w:rsidRDefault="00844A4B"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xml:space="preserve">. </w:t>
            </w:r>
            <w:r w:rsidR="00B3766D">
              <w:rPr>
                <w:rFonts w:ascii="Bookman Old Style" w:eastAsia="Times New Roman" w:hAnsi="Bookman Old Style" w:cs="Times New Roman"/>
                <w:lang w:eastAsia="en-IN"/>
              </w:rPr>
              <w:t>6500-200-10500</w:t>
            </w:r>
          </w:p>
        </w:tc>
      </w:tr>
      <w:tr w:rsidR="002D690A" w:rsidTr="002D690A">
        <w:tc>
          <w:tcPr>
            <w:tcW w:w="4508" w:type="dxa"/>
          </w:tcPr>
          <w:p w:rsidR="002D690A" w:rsidRDefault="00B3766D"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Assistant Accounts/Audit Officer (AAO)</w:t>
            </w:r>
          </w:p>
        </w:tc>
        <w:tc>
          <w:tcPr>
            <w:tcW w:w="4508" w:type="dxa"/>
          </w:tcPr>
          <w:p w:rsidR="002D690A" w:rsidRDefault="00B3766D"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7450-225-11500</w:t>
            </w:r>
          </w:p>
        </w:tc>
      </w:tr>
      <w:tr w:rsidR="002D690A" w:rsidTr="002D690A">
        <w:tc>
          <w:tcPr>
            <w:tcW w:w="4508" w:type="dxa"/>
          </w:tcPr>
          <w:p w:rsidR="002D690A" w:rsidRDefault="00B3766D"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Accounts/Audit Officer</w:t>
            </w:r>
          </w:p>
        </w:tc>
        <w:tc>
          <w:tcPr>
            <w:tcW w:w="4508" w:type="dxa"/>
          </w:tcPr>
          <w:p w:rsidR="002D690A" w:rsidRDefault="00B3766D"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xml:space="preserve">. </w:t>
            </w:r>
            <w:r w:rsidR="00E52DB7">
              <w:rPr>
                <w:rFonts w:ascii="Bookman Old Style" w:eastAsia="Times New Roman" w:hAnsi="Bookman Old Style" w:cs="Times New Roman"/>
                <w:lang w:eastAsia="en-IN"/>
              </w:rPr>
              <w:t>7500-250-12000</w:t>
            </w:r>
          </w:p>
        </w:tc>
      </w:tr>
      <w:tr w:rsidR="002D690A" w:rsidTr="002D690A">
        <w:tc>
          <w:tcPr>
            <w:tcW w:w="4508" w:type="dxa"/>
          </w:tcPr>
          <w:p w:rsidR="002D690A" w:rsidRDefault="00E52DB7" w:rsidP="00C0217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Senior Accounts/Audit Officer (SAO)</w:t>
            </w:r>
          </w:p>
        </w:tc>
        <w:tc>
          <w:tcPr>
            <w:tcW w:w="4508" w:type="dxa"/>
          </w:tcPr>
          <w:p w:rsidR="002D690A" w:rsidRDefault="00E52DB7" w:rsidP="00C0217F">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8000-275-13500</w:t>
            </w:r>
          </w:p>
        </w:tc>
      </w:tr>
    </w:tbl>
    <w:p w:rsidR="00C0217F" w:rsidRDefault="00D12A63" w:rsidP="001D6BA3">
      <w:pPr>
        <w:spacing w:after="0"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r>
      <w:r w:rsidR="001D6BA3">
        <w:rPr>
          <w:rFonts w:ascii="Bookman Old Style" w:eastAsia="Times New Roman" w:hAnsi="Bookman Old Style" w:cs="Times New Roman"/>
          <w:lang w:eastAsia="en-IN"/>
        </w:rPr>
        <w:t>Para 7.56.9 of 6</w:t>
      </w:r>
      <w:r w:rsidR="001D6BA3" w:rsidRPr="001D6BA3">
        <w:rPr>
          <w:rFonts w:ascii="Bookman Old Style" w:eastAsia="Times New Roman" w:hAnsi="Bookman Old Style" w:cs="Times New Roman"/>
          <w:vertAlign w:val="superscript"/>
          <w:lang w:eastAsia="en-IN"/>
        </w:rPr>
        <w:t>th</w:t>
      </w:r>
      <w:r>
        <w:rPr>
          <w:rFonts w:ascii="Bookman Old Style" w:eastAsia="Times New Roman" w:hAnsi="Bookman Old Style" w:cs="Times New Roman"/>
          <w:lang w:eastAsia="en-IN"/>
        </w:rPr>
        <w:t xml:space="preserve"> CPC Report states that </w:t>
      </w:r>
      <w:r w:rsidR="001D6BA3">
        <w:rPr>
          <w:rFonts w:ascii="Bookman Old Style" w:eastAsia="Times New Roman" w:hAnsi="Bookman Old Style" w:cs="Times New Roman"/>
          <w:lang w:eastAsia="en-IN"/>
        </w:rPr>
        <w:t>“</w:t>
      </w:r>
      <w:r w:rsidR="00F77AFF">
        <w:rPr>
          <w:rFonts w:ascii="Bookman Old Style" w:eastAsia="Times New Roman" w:hAnsi="Bookman Old Style" w:cs="Times New Roman"/>
          <w:lang w:eastAsia="en-IN"/>
        </w:rPr>
        <w:t xml:space="preserve">In so far as other posts are concerned, a clear cut parity </w:t>
      </w:r>
      <w:r w:rsidR="00441C8A">
        <w:rPr>
          <w:rFonts w:ascii="Bookman Old Style" w:eastAsia="Times New Roman" w:hAnsi="Bookman Old Style" w:cs="Times New Roman"/>
          <w:lang w:eastAsia="en-IN"/>
        </w:rPr>
        <w:t xml:space="preserve">of these posts vis-à-vis those existing in CSS have never been </w:t>
      </w:r>
      <w:r w:rsidR="00DF077B">
        <w:rPr>
          <w:rFonts w:ascii="Bookman Old Style" w:eastAsia="Times New Roman" w:hAnsi="Bookman Old Style" w:cs="Times New Roman"/>
          <w:lang w:eastAsia="en-IN"/>
        </w:rPr>
        <w:t>established in past and it is difficult to establish any parity even now. The proposed upgradations for the post of SAO, AO will</w:t>
      </w:r>
      <w:r w:rsidR="009409AA">
        <w:rPr>
          <w:rFonts w:ascii="Bookman Old Style" w:eastAsia="Times New Roman" w:hAnsi="Bookman Old Style" w:cs="Times New Roman"/>
          <w:lang w:eastAsia="en-IN"/>
        </w:rPr>
        <w:t xml:space="preserve">, therefore, have to be considered on merits. </w:t>
      </w:r>
      <w:r w:rsidR="009409AA" w:rsidRPr="00C5403C">
        <w:rPr>
          <w:rFonts w:ascii="Bookman Old Style" w:eastAsia="Times New Roman" w:hAnsi="Bookman Old Style" w:cs="Times New Roman"/>
          <w:b/>
          <w:lang w:eastAsia="en-IN"/>
        </w:rPr>
        <w:t>It is observed that the post of SAO constitutes a feeder cadre for induction into IA&amp;AS</w:t>
      </w:r>
      <w:r w:rsidR="00EC2081" w:rsidRPr="00C5403C">
        <w:rPr>
          <w:rFonts w:ascii="Bookman Old Style" w:eastAsia="Times New Roman" w:hAnsi="Bookman Old Style" w:cs="Times New Roman"/>
          <w:b/>
          <w:lang w:eastAsia="en-IN"/>
        </w:rPr>
        <w:t xml:space="preserve">. The entry grade for IA&amp;AS is presently </w:t>
      </w:r>
      <w:proofErr w:type="spellStart"/>
      <w:r w:rsidR="00EC2081" w:rsidRPr="00C5403C">
        <w:rPr>
          <w:rFonts w:ascii="Bookman Old Style" w:eastAsia="Times New Roman" w:hAnsi="Bookman Old Style" w:cs="Times New Roman"/>
          <w:b/>
          <w:lang w:eastAsia="en-IN"/>
        </w:rPr>
        <w:t>Rs</w:t>
      </w:r>
      <w:proofErr w:type="spellEnd"/>
      <w:r w:rsidR="00EC2081" w:rsidRPr="00C5403C">
        <w:rPr>
          <w:rFonts w:ascii="Bookman Old Style" w:eastAsia="Times New Roman" w:hAnsi="Bookman Old Style" w:cs="Times New Roman"/>
          <w:b/>
          <w:lang w:eastAsia="en-IN"/>
        </w:rPr>
        <w:t xml:space="preserve">. 8000-13500 which is identical to the scale of SAOs. </w:t>
      </w:r>
      <w:r w:rsidR="003B1C3C" w:rsidRPr="00C5403C">
        <w:rPr>
          <w:rFonts w:ascii="Bookman Old Style" w:eastAsia="Times New Roman" w:hAnsi="Bookman Old Style" w:cs="Times New Roman"/>
          <w:b/>
          <w:lang w:eastAsia="en-IN"/>
        </w:rPr>
        <w:t xml:space="preserve">Upgrading their pay scale any further will place them in a higher level than the entry grade of IA&amp;AS </w:t>
      </w:r>
      <w:r w:rsidR="00811DE7" w:rsidRPr="00C5403C">
        <w:rPr>
          <w:rFonts w:ascii="Bookman Old Style" w:eastAsia="Times New Roman" w:hAnsi="Bookman Old Style" w:cs="Times New Roman"/>
          <w:b/>
          <w:lang w:eastAsia="en-IN"/>
        </w:rPr>
        <w:t>which is a promotion post. This will be anomalous. The existing pay scale of SAO will therefore be maintained.</w:t>
      </w:r>
      <w:r w:rsidR="00DF077B">
        <w:rPr>
          <w:rFonts w:ascii="Bookman Old Style" w:eastAsia="Times New Roman" w:hAnsi="Bookman Old Style" w:cs="Times New Roman"/>
          <w:lang w:eastAsia="en-IN"/>
        </w:rPr>
        <w:t xml:space="preserve"> </w:t>
      </w:r>
      <w:r w:rsidR="001D6BA3">
        <w:rPr>
          <w:rFonts w:ascii="Bookman Old Style" w:eastAsia="Times New Roman" w:hAnsi="Bookman Old Style" w:cs="Times New Roman"/>
          <w:lang w:eastAsia="en-IN"/>
        </w:rPr>
        <w:t>Merger of the 6</w:t>
      </w:r>
      <w:r w:rsidR="001D6BA3" w:rsidRPr="001D6BA3">
        <w:rPr>
          <w:rFonts w:ascii="Bookman Old Style" w:eastAsia="Times New Roman" w:hAnsi="Bookman Old Style" w:cs="Times New Roman"/>
          <w:vertAlign w:val="superscript"/>
          <w:lang w:eastAsia="en-IN"/>
        </w:rPr>
        <w:t>th</w:t>
      </w:r>
      <w:r w:rsidR="001D6BA3">
        <w:rPr>
          <w:rFonts w:ascii="Bookman Old Style" w:eastAsia="Times New Roman" w:hAnsi="Bookman Old Style" w:cs="Times New Roman"/>
          <w:lang w:eastAsia="en-IN"/>
        </w:rPr>
        <w:t xml:space="preserve"> CPC Pay Scales of </w:t>
      </w:r>
      <w:proofErr w:type="spellStart"/>
      <w:r w:rsidR="005E61B8">
        <w:rPr>
          <w:rFonts w:ascii="Bookman Old Style" w:eastAsia="Times New Roman" w:hAnsi="Bookman Old Style" w:cs="Times New Roman"/>
          <w:lang w:eastAsia="en-IN"/>
        </w:rPr>
        <w:t>Rs</w:t>
      </w:r>
      <w:proofErr w:type="spellEnd"/>
      <w:r w:rsidR="005E61B8">
        <w:rPr>
          <w:rFonts w:ascii="Bookman Old Style" w:eastAsia="Times New Roman" w:hAnsi="Bookman Old Style" w:cs="Times New Roman"/>
          <w:lang w:eastAsia="en-IN"/>
        </w:rPr>
        <w:t>. 5000-</w:t>
      </w:r>
      <w:proofErr w:type="gramStart"/>
      <w:r w:rsidR="005E61B8">
        <w:rPr>
          <w:rFonts w:ascii="Bookman Old Style" w:eastAsia="Times New Roman" w:hAnsi="Bookman Old Style" w:cs="Times New Roman"/>
          <w:lang w:eastAsia="en-IN"/>
        </w:rPr>
        <w:t>8000,Rs</w:t>
      </w:r>
      <w:proofErr w:type="gramEnd"/>
      <w:r w:rsidR="005E61B8">
        <w:rPr>
          <w:rFonts w:ascii="Bookman Old Style" w:eastAsia="Times New Roman" w:hAnsi="Bookman Old Style" w:cs="Times New Roman"/>
          <w:lang w:eastAsia="en-IN"/>
        </w:rPr>
        <w:t xml:space="preserve">. 5500-9000 and </w:t>
      </w:r>
      <w:proofErr w:type="spellStart"/>
      <w:r w:rsidR="005E61B8">
        <w:rPr>
          <w:rFonts w:ascii="Bookman Old Style" w:eastAsia="Times New Roman" w:hAnsi="Bookman Old Style" w:cs="Times New Roman"/>
          <w:lang w:eastAsia="en-IN"/>
        </w:rPr>
        <w:t>Rs</w:t>
      </w:r>
      <w:proofErr w:type="spellEnd"/>
      <w:r w:rsidR="005E61B8">
        <w:rPr>
          <w:rFonts w:ascii="Bookman Old Style" w:eastAsia="Times New Roman" w:hAnsi="Bookman Old Style" w:cs="Times New Roman"/>
          <w:lang w:eastAsia="en-IN"/>
        </w:rPr>
        <w:t>. 6500-10500 will place the posts of Senior Auditor/</w:t>
      </w:r>
      <w:r w:rsidR="00451BA5">
        <w:rPr>
          <w:rFonts w:ascii="Bookman Old Style" w:eastAsia="Times New Roman" w:hAnsi="Bookman Old Style" w:cs="Times New Roman"/>
          <w:lang w:eastAsia="en-IN"/>
        </w:rPr>
        <w:t xml:space="preserve">Accountant and Section Officer in an identical pay band and grade pay even though the former are the feeder cadre for </w:t>
      </w:r>
      <w:r w:rsidR="007628ED">
        <w:rPr>
          <w:rFonts w:ascii="Bookman Old Style" w:eastAsia="Times New Roman" w:hAnsi="Bookman Old Style" w:cs="Times New Roman"/>
          <w:lang w:eastAsia="en-IN"/>
        </w:rPr>
        <w:t xml:space="preserve">promotion to the latter. The post of Section Officer would therefore also need to be upgraded. The post will consequently be placed in the next higher grade </w:t>
      </w:r>
      <w:r w:rsidR="004672EB">
        <w:rPr>
          <w:rFonts w:ascii="Bookman Old Style" w:eastAsia="Times New Roman" w:hAnsi="Bookman Old Style" w:cs="Times New Roman"/>
          <w:lang w:eastAsia="en-IN"/>
        </w:rPr>
        <w:t xml:space="preserve">carrying Grade Pay of </w:t>
      </w:r>
      <w:proofErr w:type="spellStart"/>
      <w:r w:rsidR="004672EB">
        <w:rPr>
          <w:rFonts w:ascii="Bookman Old Style" w:eastAsia="Times New Roman" w:hAnsi="Bookman Old Style" w:cs="Times New Roman"/>
          <w:lang w:eastAsia="en-IN"/>
        </w:rPr>
        <w:t>Rs</w:t>
      </w:r>
      <w:proofErr w:type="spellEnd"/>
      <w:r w:rsidR="004672EB">
        <w:rPr>
          <w:rFonts w:ascii="Bookman Old Style" w:eastAsia="Times New Roman" w:hAnsi="Bookman Old Style" w:cs="Times New Roman"/>
          <w:lang w:eastAsia="en-IN"/>
        </w:rPr>
        <w:t xml:space="preserve">. 4800 in Pay Band PB-2 of </w:t>
      </w:r>
      <w:proofErr w:type="spellStart"/>
      <w:r w:rsidR="004672EB">
        <w:rPr>
          <w:rFonts w:ascii="Bookman Old Style" w:eastAsia="Times New Roman" w:hAnsi="Bookman Old Style" w:cs="Times New Roman"/>
          <w:lang w:eastAsia="en-IN"/>
        </w:rPr>
        <w:t>Rs</w:t>
      </w:r>
      <w:proofErr w:type="spellEnd"/>
      <w:r w:rsidR="004672EB">
        <w:rPr>
          <w:rFonts w:ascii="Bookman Old Style" w:eastAsia="Times New Roman" w:hAnsi="Bookman Old Style" w:cs="Times New Roman"/>
          <w:lang w:eastAsia="en-IN"/>
        </w:rPr>
        <w:t xml:space="preserve">. 8700-34800 that </w:t>
      </w:r>
      <w:r w:rsidR="00534315">
        <w:rPr>
          <w:rFonts w:ascii="Bookman Old Style" w:eastAsia="Times New Roman" w:hAnsi="Bookman Old Style" w:cs="Times New Roman"/>
          <w:lang w:eastAsia="en-IN"/>
        </w:rPr>
        <w:t>corresponds to the Pre-revised pay s</w:t>
      </w:r>
      <w:r w:rsidR="004672EB">
        <w:rPr>
          <w:rFonts w:ascii="Bookman Old Style" w:eastAsia="Times New Roman" w:hAnsi="Bookman Old Style" w:cs="Times New Roman"/>
          <w:lang w:eastAsia="en-IN"/>
        </w:rPr>
        <w:t xml:space="preserve">cale </w:t>
      </w:r>
      <w:r w:rsidR="00534315">
        <w:rPr>
          <w:rFonts w:ascii="Bookman Old Style" w:eastAsia="Times New Roman" w:hAnsi="Bookman Old Style" w:cs="Times New Roman"/>
          <w:lang w:eastAsia="en-IN"/>
        </w:rPr>
        <w:t xml:space="preserve">of </w:t>
      </w:r>
      <w:proofErr w:type="spellStart"/>
      <w:r w:rsidR="00534315">
        <w:rPr>
          <w:rFonts w:ascii="Bookman Old Style" w:eastAsia="Times New Roman" w:hAnsi="Bookman Old Style" w:cs="Times New Roman"/>
          <w:lang w:eastAsia="en-IN"/>
        </w:rPr>
        <w:t>Rs</w:t>
      </w:r>
      <w:proofErr w:type="spellEnd"/>
      <w:r w:rsidR="00534315">
        <w:rPr>
          <w:rFonts w:ascii="Bookman Old Style" w:eastAsia="Times New Roman" w:hAnsi="Bookman Old Style" w:cs="Times New Roman"/>
          <w:lang w:eastAsia="en-IN"/>
        </w:rPr>
        <w:t xml:space="preserve">. 7500-12000. </w:t>
      </w:r>
      <w:r w:rsidR="00534315" w:rsidRPr="00056308">
        <w:rPr>
          <w:rFonts w:ascii="Bookman Old Style" w:eastAsia="Times New Roman" w:hAnsi="Bookman Old Style" w:cs="Times New Roman"/>
          <w:b/>
          <w:lang w:eastAsia="en-IN"/>
        </w:rPr>
        <w:t xml:space="preserve">This upgradation will place the posts of Section Officer and Assistant Accounts/Audit Officer in an </w:t>
      </w:r>
      <w:r w:rsidR="0035568A" w:rsidRPr="00056308">
        <w:rPr>
          <w:rFonts w:ascii="Bookman Old Style" w:eastAsia="Times New Roman" w:hAnsi="Bookman Old Style" w:cs="Times New Roman"/>
          <w:b/>
          <w:lang w:eastAsia="en-IN"/>
        </w:rPr>
        <w:t>identical pay scale and thus necessitating the upgradation of the latter category i.e. AAO</w:t>
      </w:r>
      <w:r w:rsidR="0035568A">
        <w:rPr>
          <w:rFonts w:ascii="Bookman Old Style" w:eastAsia="Times New Roman" w:hAnsi="Bookman Old Style" w:cs="Times New Roman"/>
          <w:lang w:eastAsia="en-IN"/>
        </w:rPr>
        <w:t>.</w:t>
      </w:r>
      <w:r w:rsidR="00056308">
        <w:rPr>
          <w:rFonts w:ascii="Bookman Old Style" w:eastAsia="Times New Roman" w:hAnsi="Bookman Old Style" w:cs="Times New Roman"/>
          <w:lang w:eastAsia="en-IN"/>
        </w:rPr>
        <w:t xml:space="preserve"> The posts of </w:t>
      </w:r>
      <w:r w:rsidR="002775C2">
        <w:rPr>
          <w:rFonts w:ascii="Bookman Old Style" w:eastAsia="Times New Roman" w:hAnsi="Bookman Old Style" w:cs="Times New Roman"/>
          <w:lang w:eastAsia="en-IN"/>
        </w:rPr>
        <w:t>Assistant</w:t>
      </w:r>
      <w:r w:rsidR="00056308">
        <w:rPr>
          <w:rFonts w:ascii="Bookman Old Style" w:eastAsia="Times New Roman" w:hAnsi="Bookman Old Style" w:cs="Times New Roman"/>
          <w:lang w:eastAsia="en-IN"/>
        </w:rPr>
        <w:t xml:space="preserve"> Accounts/Audit Officer and Accounts/Audit Officer should therefore be </w:t>
      </w:r>
      <w:r w:rsidR="002775C2">
        <w:rPr>
          <w:rFonts w:ascii="Bookman Old Style" w:eastAsia="Times New Roman" w:hAnsi="Bookman Old Style" w:cs="Times New Roman"/>
          <w:lang w:eastAsia="en-IN"/>
        </w:rPr>
        <w:t xml:space="preserve">merged in the pay Band PB-2 of </w:t>
      </w:r>
      <w:proofErr w:type="spellStart"/>
      <w:r w:rsidR="002775C2">
        <w:rPr>
          <w:rFonts w:ascii="Bookman Old Style" w:eastAsia="Times New Roman" w:hAnsi="Bookman Old Style" w:cs="Times New Roman"/>
          <w:lang w:eastAsia="en-IN"/>
        </w:rPr>
        <w:t>Rs</w:t>
      </w:r>
      <w:proofErr w:type="spellEnd"/>
      <w:r w:rsidR="002775C2">
        <w:rPr>
          <w:rFonts w:ascii="Bookman Old Style" w:eastAsia="Times New Roman" w:hAnsi="Bookman Old Style" w:cs="Times New Roman"/>
          <w:lang w:eastAsia="en-IN"/>
        </w:rPr>
        <w:t xml:space="preserve">. 8700- 34800 along with grade pay of </w:t>
      </w:r>
      <w:proofErr w:type="spellStart"/>
      <w:r w:rsidR="002775C2">
        <w:rPr>
          <w:rFonts w:ascii="Bookman Old Style" w:eastAsia="Times New Roman" w:hAnsi="Bookman Old Style" w:cs="Times New Roman"/>
          <w:lang w:eastAsia="en-IN"/>
        </w:rPr>
        <w:t>Rs</w:t>
      </w:r>
      <w:proofErr w:type="spellEnd"/>
      <w:r w:rsidR="002775C2">
        <w:rPr>
          <w:rFonts w:ascii="Bookman Old Style" w:eastAsia="Times New Roman" w:hAnsi="Bookman Old Style" w:cs="Times New Roman"/>
          <w:lang w:eastAsia="en-IN"/>
        </w:rPr>
        <w:t>. 4800 that corresponds to the pre-</w:t>
      </w:r>
      <w:r w:rsidR="009B0887">
        <w:rPr>
          <w:rFonts w:ascii="Bookman Old Style" w:eastAsia="Times New Roman" w:hAnsi="Bookman Old Style" w:cs="Times New Roman"/>
          <w:lang w:eastAsia="en-IN"/>
        </w:rPr>
        <w:t xml:space="preserve">revised pay scale of </w:t>
      </w:r>
      <w:proofErr w:type="spellStart"/>
      <w:r w:rsidR="009B0887">
        <w:rPr>
          <w:rFonts w:ascii="Bookman Old Style" w:eastAsia="Times New Roman" w:hAnsi="Bookman Old Style" w:cs="Times New Roman"/>
          <w:lang w:eastAsia="en-IN"/>
        </w:rPr>
        <w:t>Rs</w:t>
      </w:r>
      <w:proofErr w:type="spellEnd"/>
      <w:r w:rsidR="009B0887">
        <w:rPr>
          <w:rFonts w:ascii="Bookman Old Style" w:eastAsia="Times New Roman" w:hAnsi="Bookman Old Style" w:cs="Times New Roman"/>
          <w:lang w:eastAsia="en-IN"/>
        </w:rPr>
        <w:t xml:space="preserve">. 7500-12000. The Post of Senior Accounts/Audit Officer shall be </w:t>
      </w:r>
      <w:r w:rsidR="00BC4364">
        <w:rPr>
          <w:rFonts w:ascii="Bookman Old Style" w:eastAsia="Times New Roman" w:hAnsi="Bookman Old Style" w:cs="Times New Roman"/>
          <w:lang w:eastAsia="en-IN"/>
        </w:rPr>
        <w:t>placed</w:t>
      </w:r>
      <w:r w:rsidR="009B0887">
        <w:rPr>
          <w:rFonts w:ascii="Bookman Old Style" w:eastAsia="Times New Roman" w:hAnsi="Bookman Old Style" w:cs="Times New Roman"/>
          <w:lang w:eastAsia="en-IN"/>
        </w:rPr>
        <w:t xml:space="preserve"> in the corresponding revised pay band PB 2 of </w:t>
      </w:r>
      <w:proofErr w:type="spellStart"/>
      <w:r w:rsidR="009B0887">
        <w:rPr>
          <w:rFonts w:ascii="Bookman Old Style" w:eastAsia="Times New Roman" w:hAnsi="Bookman Old Style" w:cs="Times New Roman"/>
          <w:lang w:eastAsia="en-IN"/>
        </w:rPr>
        <w:t>Rs</w:t>
      </w:r>
      <w:proofErr w:type="spellEnd"/>
      <w:r w:rsidR="009B0887">
        <w:rPr>
          <w:rFonts w:ascii="Bookman Old Style" w:eastAsia="Times New Roman" w:hAnsi="Bookman Old Style" w:cs="Times New Roman"/>
          <w:lang w:eastAsia="en-IN"/>
        </w:rPr>
        <w:t>. 8700</w:t>
      </w:r>
      <w:r w:rsidR="00712931">
        <w:rPr>
          <w:rFonts w:ascii="Bookman Old Style" w:eastAsia="Times New Roman" w:hAnsi="Bookman Old Style" w:cs="Times New Roman"/>
          <w:lang w:eastAsia="en-IN"/>
        </w:rPr>
        <w:t xml:space="preserve">-34800 along with </w:t>
      </w:r>
      <w:r w:rsidR="009B0887">
        <w:rPr>
          <w:rFonts w:ascii="Bookman Old Style" w:eastAsia="Times New Roman" w:hAnsi="Bookman Old Style" w:cs="Times New Roman"/>
          <w:lang w:eastAsia="en-IN"/>
        </w:rPr>
        <w:t>grade pay</w:t>
      </w:r>
      <w:r w:rsidR="00712931">
        <w:rPr>
          <w:rFonts w:ascii="Bookman Old Style" w:eastAsia="Times New Roman" w:hAnsi="Bookman Old Style" w:cs="Times New Roman"/>
          <w:lang w:eastAsia="en-IN"/>
        </w:rPr>
        <w:t xml:space="preserve"> of </w:t>
      </w:r>
      <w:proofErr w:type="spellStart"/>
      <w:r w:rsidR="00712931">
        <w:rPr>
          <w:rFonts w:ascii="Bookman Old Style" w:eastAsia="Times New Roman" w:hAnsi="Bookman Old Style" w:cs="Times New Roman"/>
          <w:lang w:eastAsia="en-IN"/>
        </w:rPr>
        <w:t>Rs</w:t>
      </w:r>
      <w:proofErr w:type="spellEnd"/>
      <w:r w:rsidR="00712931">
        <w:rPr>
          <w:rFonts w:ascii="Bookman Old Style" w:eastAsia="Times New Roman" w:hAnsi="Bookman Old Style" w:cs="Times New Roman"/>
          <w:lang w:eastAsia="en-IN"/>
        </w:rPr>
        <w:t xml:space="preserve">. 5400. The existing parity between posts in various organized Cadres </w:t>
      </w:r>
      <w:r w:rsidR="00BC4364">
        <w:rPr>
          <w:rFonts w:ascii="Bookman Old Style" w:eastAsia="Times New Roman" w:hAnsi="Bookman Old Style" w:cs="Times New Roman"/>
          <w:lang w:eastAsia="en-IN"/>
        </w:rPr>
        <w:t>shall</w:t>
      </w:r>
      <w:r w:rsidR="00712931">
        <w:rPr>
          <w:rFonts w:ascii="Bookman Old Style" w:eastAsia="Times New Roman" w:hAnsi="Bookman Old Style" w:cs="Times New Roman"/>
          <w:lang w:eastAsia="en-IN"/>
        </w:rPr>
        <w:t xml:space="preserve"> be maintained</w:t>
      </w:r>
      <w:r w:rsidR="006B18D7">
        <w:rPr>
          <w:rFonts w:ascii="Bookman Old Style" w:eastAsia="Times New Roman" w:hAnsi="Bookman Old Style" w:cs="Times New Roman"/>
          <w:lang w:eastAsia="en-IN"/>
        </w:rPr>
        <w:t xml:space="preserve">. </w:t>
      </w:r>
      <w:r w:rsidR="006C3C64">
        <w:rPr>
          <w:rFonts w:ascii="Bookman Old Style" w:eastAsia="Times New Roman" w:hAnsi="Bookman Old Style" w:cs="Times New Roman"/>
          <w:lang w:eastAsia="en-IN"/>
        </w:rPr>
        <w:t>Accordingly,</w:t>
      </w:r>
      <w:r w:rsidR="006B18D7">
        <w:rPr>
          <w:rFonts w:ascii="Bookman Old Style" w:eastAsia="Times New Roman" w:hAnsi="Bookman Old Style" w:cs="Times New Roman"/>
          <w:lang w:eastAsia="en-IN"/>
        </w:rPr>
        <w:t xml:space="preserve"> the aforesaid structure being recommended in </w:t>
      </w:r>
      <w:r w:rsidR="00655A49">
        <w:rPr>
          <w:rFonts w:ascii="Bookman Old Style" w:eastAsia="Times New Roman" w:hAnsi="Bookman Old Style" w:cs="Times New Roman"/>
          <w:lang w:eastAsia="en-IN"/>
        </w:rPr>
        <w:t>IA&amp;AD will be extended in case of other Organized Accounts Cadres like Controller General of Accounts, Controller General of Defence Accounts, Railway Accounts, Postal Accounts</w:t>
      </w:r>
      <w:r w:rsidR="00FF271E">
        <w:rPr>
          <w:rFonts w:ascii="Bookman Old Style" w:eastAsia="Times New Roman" w:hAnsi="Bookman Old Style" w:cs="Times New Roman"/>
          <w:lang w:eastAsia="en-IN"/>
        </w:rPr>
        <w:t>, Telecom Accounts</w:t>
      </w:r>
      <w:r w:rsidR="0035568A">
        <w:rPr>
          <w:rFonts w:ascii="Bookman Old Style" w:eastAsia="Times New Roman" w:hAnsi="Bookman Old Style" w:cs="Times New Roman"/>
          <w:lang w:eastAsia="en-IN"/>
        </w:rPr>
        <w:t>”</w:t>
      </w:r>
    </w:p>
    <w:p w:rsidR="0035568A" w:rsidRDefault="0035568A" w:rsidP="001D6BA3">
      <w:pPr>
        <w:spacing w:after="0"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r>
      <w:r w:rsidR="00E80B5A">
        <w:rPr>
          <w:rFonts w:ascii="Bookman Old Style" w:eastAsia="Times New Roman" w:hAnsi="Bookman Old Style" w:cs="Times New Roman"/>
          <w:lang w:eastAsia="en-IN"/>
        </w:rPr>
        <w:t>As a result of</w:t>
      </w:r>
      <w:r>
        <w:rPr>
          <w:rFonts w:ascii="Bookman Old Style" w:eastAsia="Times New Roman" w:hAnsi="Bookman Old Style" w:cs="Times New Roman"/>
          <w:lang w:eastAsia="en-IN"/>
        </w:rPr>
        <w:t xml:space="preserve"> above recommendation of </w:t>
      </w:r>
      <w:r w:rsidR="004A0642">
        <w:rPr>
          <w:rFonts w:ascii="Bookman Old Style" w:eastAsia="Times New Roman" w:hAnsi="Bookman Old Style" w:cs="Times New Roman"/>
          <w:lang w:eastAsia="en-IN"/>
        </w:rPr>
        <w:t>6</w:t>
      </w:r>
      <w:r w:rsidR="004A0642" w:rsidRPr="004A0642">
        <w:rPr>
          <w:rFonts w:ascii="Bookman Old Style" w:eastAsia="Times New Roman" w:hAnsi="Bookman Old Style" w:cs="Times New Roman"/>
          <w:vertAlign w:val="superscript"/>
          <w:lang w:eastAsia="en-IN"/>
        </w:rPr>
        <w:t>th</w:t>
      </w:r>
      <w:r w:rsidR="00E80B5A">
        <w:rPr>
          <w:rFonts w:ascii="Bookman Old Style" w:eastAsia="Times New Roman" w:hAnsi="Bookman Old Style" w:cs="Times New Roman"/>
          <w:lang w:eastAsia="en-IN"/>
        </w:rPr>
        <w:t xml:space="preserve"> CPC, </w:t>
      </w:r>
      <w:r w:rsidR="004A0642">
        <w:rPr>
          <w:rFonts w:ascii="Bookman Old Style" w:eastAsia="Times New Roman" w:hAnsi="Bookman Old Style" w:cs="Times New Roman"/>
          <w:lang w:eastAsia="en-IN"/>
        </w:rPr>
        <w:t xml:space="preserve">the pay of </w:t>
      </w:r>
      <w:r w:rsidR="00E80B5A">
        <w:rPr>
          <w:rFonts w:ascii="Bookman Old Style" w:eastAsia="Times New Roman" w:hAnsi="Bookman Old Style" w:cs="Times New Roman"/>
          <w:lang w:eastAsia="en-IN"/>
        </w:rPr>
        <w:t>all</w:t>
      </w:r>
      <w:r w:rsidR="004A0642">
        <w:rPr>
          <w:rFonts w:ascii="Bookman Old Style" w:eastAsia="Times New Roman" w:hAnsi="Bookman Old Style" w:cs="Times New Roman"/>
          <w:lang w:eastAsia="en-IN"/>
        </w:rPr>
        <w:t xml:space="preserve"> </w:t>
      </w:r>
      <w:r w:rsidR="00A103D6">
        <w:rPr>
          <w:rFonts w:ascii="Bookman Old Style" w:eastAsia="Times New Roman" w:hAnsi="Bookman Old Style" w:cs="Times New Roman"/>
          <w:lang w:eastAsia="en-IN"/>
        </w:rPr>
        <w:t xml:space="preserve">cadres </w:t>
      </w:r>
      <w:proofErr w:type="spellStart"/>
      <w:r w:rsidR="00A103D6">
        <w:rPr>
          <w:rFonts w:ascii="Bookman Old Style" w:eastAsia="Times New Roman" w:hAnsi="Bookman Old Style" w:cs="Times New Roman"/>
          <w:lang w:eastAsia="en-IN"/>
        </w:rPr>
        <w:t>upto</w:t>
      </w:r>
      <w:proofErr w:type="spellEnd"/>
      <w:r w:rsidR="00A103D6">
        <w:rPr>
          <w:rFonts w:ascii="Bookman Old Style" w:eastAsia="Times New Roman" w:hAnsi="Bookman Old Style" w:cs="Times New Roman"/>
          <w:lang w:eastAsia="en-IN"/>
        </w:rPr>
        <w:t xml:space="preserve"> Section Officer was </w:t>
      </w:r>
      <w:r w:rsidR="00B33258">
        <w:rPr>
          <w:rFonts w:ascii="Bookman Old Style" w:eastAsia="Times New Roman" w:hAnsi="Bookman Old Style" w:cs="Times New Roman"/>
          <w:lang w:eastAsia="en-IN"/>
        </w:rPr>
        <w:t>upgraded</w:t>
      </w:r>
      <w:r w:rsidR="00A103D6">
        <w:rPr>
          <w:rFonts w:ascii="Bookman Old Style" w:eastAsia="Times New Roman" w:hAnsi="Bookman Old Style" w:cs="Times New Roman"/>
          <w:lang w:eastAsia="en-IN"/>
        </w:rPr>
        <w:t xml:space="preserve"> by the Government </w:t>
      </w:r>
      <w:r w:rsidR="00867628">
        <w:rPr>
          <w:rFonts w:ascii="Bookman Old Style" w:eastAsia="Times New Roman" w:hAnsi="Bookman Old Style" w:cs="Times New Roman"/>
          <w:lang w:eastAsia="en-IN"/>
        </w:rPr>
        <w:t>in 6</w:t>
      </w:r>
      <w:r w:rsidR="00867628" w:rsidRPr="00867628">
        <w:rPr>
          <w:rFonts w:ascii="Bookman Old Style" w:eastAsia="Times New Roman" w:hAnsi="Bookman Old Style" w:cs="Times New Roman"/>
          <w:vertAlign w:val="superscript"/>
          <w:lang w:eastAsia="en-IN"/>
        </w:rPr>
        <w:t>th</w:t>
      </w:r>
      <w:r w:rsidR="00867628">
        <w:rPr>
          <w:rFonts w:ascii="Bookman Old Style" w:eastAsia="Times New Roman" w:hAnsi="Bookman Old Style" w:cs="Times New Roman"/>
          <w:lang w:eastAsia="en-IN"/>
        </w:rPr>
        <w:t xml:space="preserve"> CPC </w:t>
      </w:r>
      <w:r w:rsidR="00A103D6">
        <w:rPr>
          <w:rFonts w:ascii="Bookman Old Style" w:eastAsia="Times New Roman" w:hAnsi="Bookman Old Style" w:cs="Times New Roman"/>
          <w:lang w:eastAsia="en-IN"/>
        </w:rPr>
        <w:t>as below.</w:t>
      </w:r>
    </w:p>
    <w:p w:rsidR="00A103D6" w:rsidRDefault="00A103D6" w:rsidP="001D6BA3">
      <w:pPr>
        <w:spacing w:after="0" w:line="240" w:lineRule="auto"/>
        <w:jc w:val="both"/>
        <w:rPr>
          <w:rFonts w:ascii="Bookman Old Style" w:eastAsia="Times New Roman" w:hAnsi="Bookman Old Style" w:cs="Times New Roman"/>
          <w:lang w:eastAsia="en-IN"/>
        </w:rPr>
      </w:pPr>
    </w:p>
    <w:tbl>
      <w:tblPr>
        <w:tblStyle w:val="TableGrid"/>
        <w:tblW w:w="0" w:type="auto"/>
        <w:tblInd w:w="85" w:type="dxa"/>
        <w:tblLook w:val="04A0" w:firstRow="1" w:lastRow="0" w:firstColumn="1" w:lastColumn="0" w:noHBand="0" w:noVBand="1"/>
      </w:tblPr>
      <w:tblGrid>
        <w:gridCol w:w="2851"/>
        <w:gridCol w:w="2549"/>
        <w:gridCol w:w="2970"/>
      </w:tblGrid>
      <w:tr w:rsidR="00817BA2" w:rsidTr="00ED4E05">
        <w:tc>
          <w:tcPr>
            <w:tcW w:w="2851" w:type="dxa"/>
          </w:tcPr>
          <w:p w:rsidR="00817BA2" w:rsidRPr="002D690A" w:rsidRDefault="00817BA2" w:rsidP="00FF271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Category of Posts</w:t>
            </w:r>
          </w:p>
        </w:tc>
        <w:tc>
          <w:tcPr>
            <w:tcW w:w="2549" w:type="dxa"/>
          </w:tcPr>
          <w:p w:rsidR="00817BA2" w:rsidRPr="002D690A" w:rsidRDefault="00817BA2" w:rsidP="00FF271E">
            <w:pPr>
              <w:jc w:val="both"/>
              <w:rPr>
                <w:rFonts w:ascii="Bookman Old Style" w:eastAsia="Times New Roman" w:hAnsi="Bookman Old Style" w:cs="Times New Roman"/>
                <w:b/>
                <w:lang w:eastAsia="en-IN"/>
              </w:rPr>
            </w:pPr>
            <w:r w:rsidRPr="002D690A">
              <w:rPr>
                <w:rFonts w:ascii="Bookman Old Style" w:eastAsia="Times New Roman" w:hAnsi="Bookman Old Style" w:cs="Times New Roman"/>
                <w:b/>
                <w:lang w:eastAsia="en-IN"/>
              </w:rPr>
              <w:t>5</w:t>
            </w:r>
            <w:r w:rsidRPr="002D690A">
              <w:rPr>
                <w:rFonts w:ascii="Bookman Old Style" w:eastAsia="Times New Roman" w:hAnsi="Bookman Old Style" w:cs="Times New Roman"/>
                <w:b/>
                <w:vertAlign w:val="superscript"/>
                <w:lang w:eastAsia="en-IN"/>
              </w:rPr>
              <w:t>th</w:t>
            </w:r>
            <w:r w:rsidRPr="002D690A">
              <w:rPr>
                <w:rFonts w:ascii="Bookman Old Style" w:eastAsia="Times New Roman" w:hAnsi="Bookman Old Style" w:cs="Times New Roman"/>
                <w:b/>
                <w:lang w:eastAsia="en-IN"/>
              </w:rPr>
              <w:t xml:space="preserve"> CPC Pay Scales</w:t>
            </w:r>
          </w:p>
        </w:tc>
        <w:tc>
          <w:tcPr>
            <w:tcW w:w="2970" w:type="dxa"/>
          </w:tcPr>
          <w:p w:rsidR="00817BA2" w:rsidRPr="002D690A" w:rsidRDefault="00817BA2" w:rsidP="00FF271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6</w:t>
            </w:r>
            <w:r w:rsidRPr="00585561">
              <w:rPr>
                <w:rFonts w:ascii="Bookman Old Style" w:eastAsia="Times New Roman" w:hAnsi="Bookman Old Style" w:cs="Times New Roman"/>
                <w:b/>
                <w:vertAlign w:val="superscript"/>
                <w:lang w:eastAsia="en-IN"/>
              </w:rPr>
              <w:t>th</w:t>
            </w:r>
            <w:r w:rsidR="00E80B5A">
              <w:rPr>
                <w:rFonts w:ascii="Bookman Old Style" w:eastAsia="Times New Roman" w:hAnsi="Bookman Old Style" w:cs="Times New Roman"/>
                <w:b/>
                <w:lang w:eastAsia="en-IN"/>
              </w:rPr>
              <w:t xml:space="preserve"> CPC Accepted PB</w:t>
            </w:r>
            <w:r>
              <w:rPr>
                <w:rFonts w:ascii="Bookman Old Style" w:eastAsia="Times New Roman" w:hAnsi="Bookman Old Style" w:cs="Times New Roman"/>
                <w:b/>
                <w:lang w:eastAsia="en-IN"/>
              </w:rPr>
              <w:t xml:space="preserve"> and Grade Pay</w:t>
            </w:r>
          </w:p>
        </w:tc>
      </w:tr>
      <w:tr w:rsidR="00817BA2" w:rsidTr="00ED4E05">
        <w:tc>
          <w:tcPr>
            <w:tcW w:w="2851"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Auditor/Accountants (JA)</w:t>
            </w:r>
          </w:p>
        </w:tc>
        <w:tc>
          <w:tcPr>
            <w:tcW w:w="2549" w:type="dxa"/>
          </w:tcPr>
          <w:p w:rsidR="00817BA2" w:rsidRDefault="00817BA2" w:rsidP="00FF271E">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4500-125-7000</w:t>
            </w:r>
          </w:p>
        </w:tc>
        <w:tc>
          <w:tcPr>
            <w:tcW w:w="2970"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Grade Pay 2800 in PB-1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5200-20200</w:t>
            </w:r>
          </w:p>
        </w:tc>
      </w:tr>
      <w:tr w:rsidR="00817BA2" w:rsidTr="00ED4E05">
        <w:tc>
          <w:tcPr>
            <w:tcW w:w="2851"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Senior Auditor/ Senior Accountants (SA)</w:t>
            </w:r>
          </w:p>
        </w:tc>
        <w:tc>
          <w:tcPr>
            <w:tcW w:w="2549" w:type="dxa"/>
          </w:tcPr>
          <w:p w:rsidR="00817BA2" w:rsidRDefault="00817BA2" w:rsidP="00FF271E">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5500-175-9000</w:t>
            </w:r>
          </w:p>
        </w:tc>
        <w:tc>
          <w:tcPr>
            <w:tcW w:w="2970"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Grade Pay 4200 in PB-2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9300-34800</w:t>
            </w:r>
          </w:p>
        </w:tc>
      </w:tr>
      <w:tr w:rsidR="00817BA2" w:rsidTr="00ED4E05">
        <w:tc>
          <w:tcPr>
            <w:tcW w:w="2851"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Section Officer (SO/JAO)</w:t>
            </w:r>
          </w:p>
        </w:tc>
        <w:tc>
          <w:tcPr>
            <w:tcW w:w="2549" w:type="dxa"/>
          </w:tcPr>
          <w:p w:rsidR="00817BA2" w:rsidRDefault="00817BA2" w:rsidP="00FF271E">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6500-200-10500</w:t>
            </w:r>
          </w:p>
        </w:tc>
        <w:tc>
          <w:tcPr>
            <w:tcW w:w="2970" w:type="dxa"/>
          </w:tcPr>
          <w:p w:rsidR="00817BA2" w:rsidRDefault="00817BA2" w:rsidP="00FF271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Grade Pay 4800 in PB-2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9300-34800</w:t>
            </w:r>
          </w:p>
        </w:tc>
      </w:tr>
      <w:tr w:rsidR="00951335" w:rsidTr="00ED4E05">
        <w:tc>
          <w:tcPr>
            <w:tcW w:w="2851" w:type="dxa"/>
          </w:tcPr>
          <w:p w:rsidR="00951335" w:rsidRDefault="00951335" w:rsidP="00951335">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Assistant Accounts/Audit Officer (AAO)</w:t>
            </w:r>
          </w:p>
        </w:tc>
        <w:tc>
          <w:tcPr>
            <w:tcW w:w="2549" w:type="dxa"/>
          </w:tcPr>
          <w:p w:rsidR="00951335" w:rsidRDefault="00951335" w:rsidP="00951335">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7450-225-11500</w:t>
            </w:r>
          </w:p>
        </w:tc>
        <w:tc>
          <w:tcPr>
            <w:tcW w:w="2970" w:type="dxa"/>
          </w:tcPr>
          <w:p w:rsidR="00951335" w:rsidRDefault="00951335" w:rsidP="000673E2">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Grade Pay 4800 in PB-2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xml:space="preserve">. 9300-34800. Though recommended further upgradation not upgraded to GP 5400 in PB 2 since </w:t>
            </w:r>
            <w:r w:rsidR="00F23982">
              <w:rPr>
                <w:rFonts w:ascii="Bookman Old Style" w:eastAsia="Times New Roman" w:hAnsi="Bookman Old Style" w:cs="Times New Roman"/>
                <w:lang w:eastAsia="en-IN"/>
              </w:rPr>
              <w:t xml:space="preserve">it may result in </w:t>
            </w:r>
            <w:r>
              <w:rPr>
                <w:rFonts w:ascii="Bookman Old Style" w:eastAsia="Times New Roman" w:hAnsi="Bookman Old Style" w:cs="Times New Roman"/>
                <w:lang w:eastAsia="en-IN"/>
              </w:rPr>
              <w:t xml:space="preserve">the pay of SAO will go beyond </w:t>
            </w:r>
            <w:r w:rsidR="000673E2">
              <w:rPr>
                <w:rFonts w:ascii="Bookman Old Style" w:eastAsia="Times New Roman" w:hAnsi="Bookman Old Style" w:cs="Times New Roman"/>
                <w:lang w:eastAsia="en-IN"/>
              </w:rPr>
              <w:t xml:space="preserve">the pay of promotional post JTS  </w:t>
            </w:r>
            <w:r w:rsidR="00DB16D7">
              <w:rPr>
                <w:rFonts w:ascii="Bookman Old Style" w:eastAsia="Times New Roman" w:hAnsi="Bookman Old Style" w:cs="Times New Roman"/>
                <w:lang w:eastAsia="en-IN"/>
              </w:rPr>
              <w:t xml:space="preserve">i.e. </w:t>
            </w:r>
            <w:r w:rsidR="00DB16D7">
              <w:rPr>
                <w:rFonts w:ascii="Bookman Old Style" w:eastAsia="Times New Roman" w:hAnsi="Bookman Old Style" w:cs="Times New Roman"/>
                <w:lang w:eastAsia="en-IN"/>
              </w:rPr>
              <w:lastRenderedPageBreak/>
              <w:t xml:space="preserve">beyond </w:t>
            </w:r>
            <w:r w:rsidR="00F23982">
              <w:rPr>
                <w:rFonts w:ascii="Bookman Old Style" w:eastAsia="Times New Roman" w:hAnsi="Bookman Old Style" w:cs="Times New Roman"/>
                <w:lang w:eastAsia="en-IN"/>
              </w:rPr>
              <w:t>GP 5400 in PB 3 37400</w:t>
            </w:r>
            <w:r w:rsidR="00DB16D7">
              <w:rPr>
                <w:rFonts w:ascii="Bookman Old Style" w:eastAsia="Times New Roman" w:hAnsi="Bookman Old Style" w:cs="Times New Roman"/>
                <w:lang w:eastAsia="en-IN"/>
              </w:rPr>
              <w:t>-67000</w:t>
            </w:r>
          </w:p>
        </w:tc>
      </w:tr>
      <w:tr w:rsidR="00951335" w:rsidTr="00ED4E05">
        <w:tc>
          <w:tcPr>
            <w:tcW w:w="2851" w:type="dxa"/>
          </w:tcPr>
          <w:p w:rsidR="00951335" w:rsidRDefault="00951335" w:rsidP="00951335">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lastRenderedPageBreak/>
              <w:t>Accounts/Audit Officer</w:t>
            </w:r>
          </w:p>
        </w:tc>
        <w:tc>
          <w:tcPr>
            <w:tcW w:w="2549" w:type="dxa"/>
          </w:tcPr>
          <w:p w:rsidR="00951335" w:rsidRDefault="00951335" w:rsidP="00951335">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7500-250-12000</w:t>
            </w:r>
          </w:p>
        </w:tc>
        <w:tc>
          <w:tcPr>
            <w:tcW w:w="2970" w:type="dxa"/>
          </w:tcPr>
          <w:p w:rsidR="00951335" w:rsidRDefault="00C16824" w:rsidP="00951335">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Grade Pay 5400 in PB-2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9300-34800.</w:t>
            </w:r>
          </w:p>
        </w:tc>
      </w:tr>
      <w:tr w:rsidR="00951335" w:rsidTr="00ED4E05">
        <w:tc>
          <w:tcPr>
            <w:tcW w:w="2851" w:type="dxa"/>
          </w:tcPr>
          <w:p w:rsidR="00951335" w:rsidRDefault="00951335" w:rsidP="00951335">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Senior Accounts/Audit Officer (SAO)</w:t>
            </w:r>
          </w:p>
        </w:tc>
        <w:tc>
          <w:tcPr>
            <w:tcW w:w="2549" w:type="dxa"/>
          </w:tcPr>
          <w:p w:rsidR="00951335" w:rsidRDefault="00951335" w:rsidP="00951335">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8000-275-13500</w:t>
            </w:r>
          </w:p>
        </w:tc>
        <w:tc>
          <w:tcPr>
            <w:tcW w:w="2970" w:type="dxa"/>
          </w:tcPr>
          <w:p w:rsidR="00951335" w:rsidRDefault="00C16824" w:rsidP="00951335">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GP 5400 in PB 3 37400-67000</w:t>
            </w:r>
            <w:r w:rsidR="00AA5476">
              <w:rPr>
                <w:rFonts w:ascii="Bookman Old Style" w:eastAsia="Times New Roman" w:hAnsi="Bookman Old Style" w:cs="Times New Roman"/>
                <w:lang w:eastAsia="en-IN"/>
              </w:rPr>
              <w:t xml:space="preserve"> at par with JTS</w:t>
            </w:r>
          </w:p>
        </w:tc>
      </w:tr>
    </w:tbl>
    <w:p w:rsidR="0035568A" w:rsidRDefault="0035568A" w:rsidP="001D6BA3">
      <w:pPr>
        <w:spacing w:after="0" w:line="240" w:lineRule="auto"/>
        <w:jc w:val="both"/>
        <w:rPr>
          <w:rFonts w:ascii="Bookman Old Style" w:eastAsia="Times New Roman" w:hAnsi="Bookman Old Style" w:cs="Times New Roman"/>
          <w:lang w:eastAsia="en-IN"/>
        </w:rPr>
      </w:pPr>
    </w:p>
    <w:p w:rsidR="002F60CE" w:rsidRDefault="00EE15AF" w:rsidP="00BD2964">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t xml:space="preserve">Even though in all rest of the Organized Accounts Cadres the </w:t>
      </w:r>
      <w:r w:rsidR="00431C00">
        <w:rPr>
          <w:rFonts w:ascii="Bookman Old Style" w:eastAsia="Times New Roman" w:hAnsi="Bookman Old Style" w:cs="Times New Roman"/>
          <w:lang w:eastAsia="en-IN"/>
        </w:rPr>
        <w:t>GP</w:t>
      </w:r>
      <w:r>
        <w:rPr>
          <w:rFonts w:ascii="Bookman Old Style" w:eastAsia="Times New Roman" w:hAnsi="Bookman Old Style" w:cs="Times New Roman"/>
          <w:lang w:eastAsia="en-IN"/>
        </w:rPr>
        <w:t xml:space="preserve"> of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xml:space="preserve">. 4800 in PB-2 </w:t>
      </w:r>
      <w:proofErr w:type="spellStart"/>
      <w:r>
        <w:rPr>
          <w:rFonts w:ascii="Bookman Old Style" w:eastAsia="Times New Roman" w:hAnsi="Bookman Old Style" w:cs="Times New Roman"/>
          <w:lang w:eastAsia="en-IN"/>
        </w:rPr>
        <w:t>Rs</w:t>
      </w:r>
      <w:proofErr w:type="spellEnd"/>
      <w:r>
        <w:rPr>
          <w:rFonts w:ascii="Bookman Old Style" w:eastAsia="Times New Roman" w:hAnsi="Bookman Old Style" w:cs="Times New Roman"/>
          <w:lang w:eastAsia="en-IN"/>
        </w:rPr>
        <w:t xml:space="preserve">. 9300-34800 only </w:t>
      </w:r>
      <w:r w:rsidR="00431C00">
        <w:rPr>
          <w:rFonts w:ascii="Bookman Old Style" w:eastAsia="Times New Roman" w:hAnsi="Bookman Old Style" w:cs="Times New Roman"/>
          <w:lang w:eastAsia="en-IN"/>
        </w:rPr>
        <w:t xml:space="preserve">granted to AAOS, </w:t>
      </w:r>
      <w:r w:rsidR="00535E8E">
        <w:rPr>
          <w:rFonts w:ascii="Bookman Old Style" w:eastAsia="Times New Roman" w:hAnsi="Bookman Old Style" w:cs="Times New Roman"/>
          <w:lang w:eastAsia="en-IN"/>
        </w:rPr>
        <w:t xml:space="preserve">though recommended for further upgradation of pay scale of </w:t>
      </w:r>
      <w:r w:rsidR="008227DD">
        <w:rPr>
          <w:rFonts w:ascii="Bookman Old Style" w:eastAsia="Times New Roman" w:hAnsi="Bookman Old Style" w:cs="Times New Roman"/>
          <w:lang w:eastAsia="en-IN"/>
        </w:rPr>
        <w:t>AAO</w:t>
      </w:r>
      <w:r w:rsidR="00431C00">
        <w:rPr>
          <w:rFonts w:ascii="Bookman Old Style" w:eastAsia="Times New Roman" w:hAnsi="Bookman Old Style" w:cs="Times New Roman"/>
          <w:lang w:eastAsia="en-IN"/>
        </w:rPr>
        <w:t xml:space="preserve"> by 6</w:t>
      </w:r>
      <w:r w:rsidR="00431C00" w:rsidRPr="00431C00">
        <w:rPr>
          <w:rFonts w:ascii="Bookman Old Style" w:eastAsia="Times New Roman" w:hAnsi="Bookman Old Style" w:cs="Times New Roman"/>
          <w:vertAlign w:val="superscript"/>
          <w:lang w:eastAsia="en-IN"/>
        </w:rPr>
        <w:t>th</w:t>
      </w:r>
      <w:r w:rsidR="00431C00">
        <w:rPr>
          <w:rFonts w:ascii="Bookman Old Style" w:eastAsia="Times New Roman" w:hAnsi="Bookman Old Style" w:cs="Times New Roman"/>
          <w:lang w:eastAsia="en-IN"/>
        </w:rPr>
        <w:t xml:space="preserve"> CPC</w:t>
      </w:r>
      <w:r w:rsidR="008227DD">
        <w:rPr>
          <w:rFonts w:ascii="Bookman Old Style" w:eastAsia="Times New Roman" w:hAnsi="Bookman Old Style" w:cs="Times New Roman"/>
          <w:lang w:eastAsia="en-IN"/>
        </w:rPr>
        <w:t xml:space="preserve">, in Railway Accounts the Grade Pay of AAO was upgraded to </w:t>
      </w:r>
      <w:r w:rsidR="00431C00">
        <w:rPr>
          <w:rFonts w:ascii="Bookman Old Style" w:eastAsia="Times New Roman" w:hAnsi="Bookman Old Style" w:cs="Times New Roman"/>
          <w:lang w:eastAsia="en-IN"/>
        </w:rPr>
        <w:t xml:space="preserve">GP of </w:t>
      </w:r>
      <w:r w:rsidR="008227DD">
        <w:rPr>
          <w:rFonts w:ascii="Bookman Old Style" w:eastAsia="Times New Roman" w:hAnsi="Bookman Old Style" w:cs="Times New Roman"/>
          <w:lang w:eastAsia="en-IN"/>
        </w:rPr>
        <w:t xml:space="preserve">5400 in PB-2 </w:t>
      </w:r>
      <w:proofErr w:type="spellStart"/>
      <w:r w:rsidR="008227DD">
        <w:rPr>
          <w:rFonts w:ascii="Bookman Old Style" w:eastAsia="Times New Roman" w:hAnsi="Bookman Old Style" w:cs="Times New Roman"/>
          <w:lang w:eastAsia="en-IN"/>
        </w:rPr>
        <w:t>Rs</w:t>
      </w:r>
      <w:proofErr w:type="spellEnd"/>
      <w:r w:rsidR="008227DD">
        <w:rPr>
          <w:rFonts w:ascii="Bookman Old Style" w:eastAsia="Times New Roman" w:hAnsi="Bookman Old Style" w:cs="Times New Roman"/>
          <w:lang w:eastAsia="en-IN"/>
        </w:rPr>
        <w:t xml:space="preserve">. 9300-34800 substantively </w:t>
      </w:r>
      <w:r w:rsidR="001E4C4E">
        <w:rPr>
          <w:rFonts w:ascii="Bookman Old Style" w:eastAsia="Times New Roman" w:hAnsi="Bookman Old Style" w:cs="Times New Roman"/>
          <w:lang w:eastAsia="en-IN"/>
        </w:rPr>
        <w:t xml:space="preserve">as per the Railway Services Revised Pay First Amendment Rules 2008 </w:t>
      </w:r>
      <w:r w:rsidR="00C17917">
        <w:rPr>
          <w:rFonts w:ascii="Bookman Old Style" w:eastAsia="Times New Roman" w:hAnsi="Bookman Old Style" w:cs="Times New Roman"/>
          <w:lang w:eastAsia="en-IN"/>
        </w:rPr>
        <w:t xml:space="preserve">issued vide GSR 674 (E) dated 23.09.2008, since </w:t>
      </w:r>
      <w:r w:rsidR="002F60CE">
        <w:rPr>
          <w:rFonts w:ascii="Bookman Old Style" w:eastAsia="Times New Roman" w:hAnsi="Bookman Old Style" w:cs="Times New Roman"/>
          <w:lang w:eastAsia="en-IN"/>
        </w:rPr>
        <w:t xml:space="preserve">the upgradation of AAO to Grade Pay 5400 in PB-2 </w:t>
      </w:r>
      <w:proofErr w:type="spellStart"/>
      <w:r w:rsidR="002F60CE">
        <w:rPr>
          <w:rFonts w:ascii="Bookman Old Style" w:eastAsia="Times New Roman" w:hAnsi="Bookman Old Style" w:cs="Times New Roman"/>
          <w:lang w:eastAsia="en-IN"/>
        </w:rPr>
        <w:t>Rs</w:t>
      </w:r>
      <w:proofErr w:type="spellEnd"/>
      <w:r w:rsidR="002F60CE">
        <w:rPr>
          <w:rFonts w:ascii="Bookman Old Style" w:eastAsia="Times New Roman" w:hAnsi="Bookman Old Style" w:cs="Times New Roman"/>
          <w:lang w:eastAsia="en-IN"/>
        </w:rPr>
        <w:t xml:space="preserve">. 9300-34800 will not result in anomaly </w:t>
      </w:r>
      <w:r w:rsidR="00372E89">
        <w:rPr>
          <w:rFonts w:ascii="Bookman Old Style" w:eastAsia="Times New Roman" w:hAnsi="Bookman Old Style" w:cs="Times New Roman"/>
          <w:lang w:eastAsia="en-IN"/>
        </w:rPr>
        <w:t>of pay</w:t>
      </w:r>
      <w:r w:rsidR="00BD2964">
        <w:rPr>
          <w:rFonts w:ascii="Bookman Old Style" w:eastAsia="Times New Roman" w:hAnsi="Bookman Old Style" w:cs="Times New Roman"/>
          <w:lang w:eastAsia="en-IN"/>
        </w:rPr>
        <w:t xml:space="preserve"> </w:t>
      </w:r>
      <w:r w:rsidR="00270BA3">
        <w:rPr>
          <w:rFonts w:ascii="Bookman Old Style" w:eastAsia="Times New Roman" w:hAnsi="Bookman Old Style" w:cs="Times New Roman"/>
          <w:lang w:eastAsia="en-IN"/>
        </w:rPr>
        <w:t xml:space="preserve">in Railway </w:t>
      </w:r>
      <w:r w:rsidR="00372E89">
        <w:rPr>
          <w:rFonts w:ascii="Bookman Old Style" w:eastAsia="Times New Roman" w:hAnsi="Bookman Old Style" w:cs="Times New Roman"/>
          <w:lang w:eastAsia="en-IN"/>
        </w:rPr>
        <w:t>Accounts, b</w:t>
      </w:r>
      <w:r w:rsidR="00270BA3">
        <w:rPr>
          <w:rFonts w:ascii="Bookman Old Style" w:eastAsia="Times New Roman" w:hAnsi="Bookman Old Style" w:cs="Times New Roman"/>
          <w:lang w:eastAsia="en-IN"/>
        </w:rPr>
        <w:t xml:space="preserve">ecause in Railways, </w:t>
      </w:r>
      <w:r w:rsidR="00372E89">
        <w:rPr>
          <w:rFonts w:ascii="Bookman Old Style" w:eastAsia="Times New Roman" w:hAnsi="Bookman Old Style" w:cs="Times New Roman"/>
          <w:lang w:eastAsia="en-IN"/>
        </w:rPr>
        <w:t xml:space="preserve">the promotional post of AAO is </w:t>
      </w:r>
      <w:r w:rsidR="00270BA3">
        <w:rPr>
          <w:rFonts w:ascii="Bookman Old Style" w:eastAsia="Times New Roman" w:hAnsi="Bookman Old Style" w:cs="Times New Roman"/>
          <w:lang w:eastAsia="en-IN"/>
        </w:rPr>
        <w:t>JTS</w:t>
      </w:r>
      <w:r w:rsidR="00372E89">
        <w:rPr>
          <w:rFonts w:ascii="Bookman Old Style" w:eastAsia="Times New Roman" w:hAnsi="Bookman Old Style" w:cs="Times New Roman"/>
          <w:lang w:eastAsia="en-IN"/>
        </w:rPr>
        <w:t xml:space="preserve"> with designation Accounts Officer</w:t>
      </w:r>
      <w:r w:rsidR="00270BA3">
        <w:rPr>
          <w:rFonts w:ascii="Bookman Old Style" w:eastAsia="Times New Roman" w:hAnsi="Bookman Old Style" w:cs="Times New Roman"/>
          <w:lang w:eastAsia="en-IN"/>
        </w:rPr>
        <w:t xml:space="preserve"> which was granted </w:t>
      </w:r>
      <w:r w:rsidR="00BD2964">
        <w:rPr>
          <w:rFonts w:ascii="Bookman Old Style" w:eastAsia="Times New Roman" w:hAnsi="Bookman Old Style" w:cs="Times New Roman"/>
          <w:lang w:eastAsia="en-IN"/>
        </w:rPr>
        <w:t>GP 5400 in PB 3</w:t>
      </w:r>
      <w:r w:rsidR="00240786">
        <w:rPr>
          <w:rFonts w:ascii="Bookman Old Style" w:eastAsia="Times New Roman" w:hAnsi="Bookman Old Style" w:cs="Times New Roman"/>
          <w:lang w:eastAsia="en-IN"/>
        </w:rPr>
        <w:t xml:space="preserve"> </w:t>
      </w:r>
      <w:proofErr w:type="spellStart"/>
      <w:r w:rsidR="00240786">
        <w:rPr>
          <w:rFonts w:ascii="Bookman Old Style" w:eastAsia="Times New Roman" w:hAnsi="Bookman Old Style" w:cs="Times New Roman"/>
          <w:lang w:eastAsia="en-IN"/>
        </w:rPr>
        <w:t>Rs</w:t>
      </w:r>
      <w:proofErr w:type="spellEnd"/>
      <w:r w:rsidR="00240786">
        <w:rPr>
          <w:rFonts w:ascii="Bookman Old Style" w:eastAsia="Times New Roman" w:hAnsi="Bookman Old Style" w:cs="Times New Roman"/>
          <w:lang w:eastAsia="en-IN"/>
        </w:rPr>
        <w:t>. 37400-67000</w:t>
      </w:r>
      <w:r w:rsidR="00BD2964">
        <w:rPr>
          <w:rFonts w:ascii="Bookman Old Style" w:eastAsia="Times New Roman" w:hAnsi="Bookman Old Style" w:cs="Times New Roman"/>
          <w:lang w:eastAsia="en-IN"/>
        </w:rPr>
        <w:t xml:space="preserve"> and further promotional post of SAO is STS which was granted GP 6600 in PB 3</w:t>
      </w:r>
      <w:r w:rsidR="00F250C8">
        <w:rPr>
          <w:rFonts w:ascii="Bookman Old Style" w:eastAsia="Times New Roman" w:hAnsi="Bookman Old Style" w:cs="Times New Roman"/>
          <w:lang w:eastAsia="en-IN"/>
        </w:rPr>
        <w:t xml:space="preserve">. </w:t>
      </w:r>
    </w:p>
    <w:p w:rsidR="00485A60" w:rsidRDefault="00744BC1" w:rsidP="00E729E9">
      <w:pPr>
        <w:jc w:val="both"/>
        <w:rPr>
          <w:rFonts w:ascii="Bookman Old Style" w:eastAsia="Times New Roman" w:hAnsi="Bookman Old Style" w:cs="Times New Roman"/>
          <w:b/>
          <w:lang w:eastAsia="en-IN"/>
        </w:rPr>
      </w:pPr>
      <w:r>
        <w:rPr>
          <w:rFonts w:ascii="Bookman Old Style" w:eastAsia="Times New Roman" w:hAnsi="Bookman Old Style" w:cs="Times New Roman"/>
          <w:lang w:eastAsia="en-IN"/>
        </w:rPr>
        <w:tab/>
        <w:t xml:space="preserve">However, presently the posts of AO and Senior AO were merged in all Organized Accounts Cadres with grant of Group A status to Senior AO except in P&amp;T Accounts </w:t>
      </w:r>
      <w:r w:rsidR="00CE2231">
        <w:rPr>
          <w:rFonts w:ascii="Bookman Old Style" w:eastAsia="Times New Roman" w:hAnsi="Bookman Old Style" w:cs="Times New Roman"/>
          <w:lang w:eastAsia="en-IN"/>
        </w:rPr>
        <w:t xml:space="preserve">where the </w:t>
      </w:r>
      <w:r w:rsidR="00CE2231" w:rsidRPr="00FC1FC2">
        <w:rPr>
          <w:rFonts w:ascii="Bookman Old Style" w:eastAsia="Times New Roman" w:hAnsi="Bookman Old Style" w:cs="Times New Roman"/>
          <w:lang w:eastAsia="en-IN"/>
        </w:rPr>
        <w:t xml:space="preserve">implementation of Group A status only is pending though the proposal was approved by the Minister of Communications. </w:t>
      </w:r>
      <w:r w:rsidR="00485A60">
        <w:rPr>
          <w:rFonts w:ascii="Bookman Old Style" w:eastAsia="Times New Roman" w:hAnsi="Bookman Old Style" w:cs="Times New Roman"/>
          <w:lang w:eastAsia="en-IN"/>
        </w:rPr>
        <w:t xml:space="preserve">In addition, we wish to bring it to the notice of 8th CPC that such pay parity </w:t>
      </w:r>
      <w:r w:rsidR="00203E82">
        <w:rPr>
          <w:rFonts w:ascii="Bookman Old Style" w:eastAsia="Times New Roman" w:hAnsi="Bookman Old Style" w:cs="Times New Roman"/>
          <w:lang w:eastAsia="en-IN"/>
        </w:rPr>
        <w:t>for Organized Accou</w:t>
      </w:r>
      <w:r w:rsidR="00D76F3A">
        <w:rPr>
          <w:rFonts w:ascii="Bookman Old Style" w:eastAsia="Times New Roman" w:hAnsi="Bookman Old Style" w:cs="Times New Roman"/>
          <w:lang w:eastAsia="en-IN"/>
        </w:rPr>
        <w:t>nts Cadre with Railway Accounts</w:t>
      </w:r>
      <w:r w:rsidR="00485A60">
        <w:rPr>
          <w:rFonts w:ascii="Bookman Old Style" w:eastAsia="Times New Roman" w:hAnsi="Bookman Old Style" w:cs="Times New Roman"/>
          <w:lang w:eastAsia="en-IN"/>
        </w:rPr>
        <w:t xml:space="preserve"> </w:t>
      </w:r>
      <w:r w:rsidR="00AF4C4F">
        <w:rPr>
          <w:rFonts w:ascii="Bookman Old Style" w:eastAsia="Times New Roman" w:hAnsi="Bookman Old Style" w:cs="Times New Roman"/>
          <w:lang w:eastAsia="en-IN"/>
        </w:rPr>
        <w:t>was</w:t>
      </w:r>
      <w:r w:rsidR="00485A60">
        <w:rPr>
          <w:rFonts w:ascii="Bookman Old Style" w:eastAsia="Times New Roman" w:hAnsi="Bookman Old Style" w:cs="Times New Roman"/>
          <w:lang w:eastAsia="en-IN"/>
        </w:rPr>
        <w:t xml:space="preserve"> granted by DOE vide OM no. </w:t>
      </w:r>
      <w:proofErr w:type="spellStart"/>
      <w:r w:rsidR="00485A60">
        <w:rPr>
          <w:rFonts w:ascii="Bookman Old Style" w:eastAsia="Times New Roman" w:hAnsi="Bookman Old Style" w:cs="Times New Roman"/>
          <w:lang w:eastAsia="en-IN"/>
        </w:rPr>
        <w:t>F.No</w:t>
      </w:r>
      <w:proofErr w:type="spellEnd"/>
      <w:r w:rsidR="00485A60">
        <w:rPr>
          <w:rFonts w:ascii="Bookman Old Style" w:eastAsia="Times New Roman" w:hAnsi="Bookman Old Style" w:cs="Times New Roman"/>
          <w:lang w:eastAsia="en-IN"/>
        </w:rPr>
        <w:t xml:space="preserve">. 6/82/E.III(B)/91 dated 28.02.2003. </w:t>
      </w:r>
      <w:r w:rsidR="00C85101" w:rsidRPr="00FC1FC2">
        <w:rPr>
          <w:rFonts w:ascii="Bookman Old Style" w:eastAsia="Times New Roman" w:hAnsi="Bookman Old Style" w:cs="Times New Roman"/>
          <w:b/>
          <w:lang w:eastAsia="en-IN"/>
        </w:rPr>
        <w:t>Hence, as recommended by 6</w:t>
      </w:r>
      <w:r w:rsidR="00C85101" w:rsidRPr="00FC1FC2">
        <w:rPr>
          <w:rFonts w:ascii="Bookman Old Style" w:eastAsia="Times New Roman" w:hAnsi="Bookman Old Style" w:cs="Times New Roman"/>
          <w:b/>
          <w:vertAlign w:val="superscript"/>
          <w:lang w:eastAsia="en-IN"/>
        </w:rPr>
        <w:t>th</w:t>
      </w:r>
      <w:r w:rsidR="00C85101" w:rsidRPr="00FC1FC2">
        <w:rPr>
          <w:rFonts w:ascii="Bookman Old Style" w:eastAsia="Times New Roman" w:hAnsi="Bookman Old Style" w:cs="Times New Roman"/>
          <w:b/>
          <w:lang w:eastAsia="en-IN"/>
        </w:rPr>
        <w:t xml:space="preserve"> CPC as well as to maintain</w:t>
      </w:r>
      <w:r w:rsidR="00E12D70" w:rsidRPr="00FC1FC2">
        <w:rPr>
          <w:rFonts w:ascii="Bookman Old Style" w:eastAsia="Times New Roman" w:hAnsi="Bookman Old Style" w:cs="Times New Roman"/>
          <w:b/>
          <w:lang w:eastAsia="en-IN"/>
        </w:rPr>
        <w:t xml:space="preserve"> historical pay</w:t>
      </w:r>
      <w:r w:rsidR="00C85101" w:rsidRPr="00FC1FC2">
        <w:rPr>
          <w:rFonts w:ascii="Bookman Old Style" w:eastAsia="Times New Roman" w:hAnsi="Bookman Old Style" w:cs="Times New Roman"/>
          <w:b/>
          <w:lang w:eastAsia="en-IN"/>
        </w:rPr>
        <w:t xml:space="preserve"> parity</w:t>
      </w:r>
      <w:r w:rsidR="00E12D70" w:rsidRPr="00FC1FC2">
        <w:rPr>
          <w:rFonts w:ascii="Bookman Old Style" w:eastAsia="Times New Roman" w:hAnsi="Bookman Old Style" w:cs="Times New Roman"/>
          <w:b/>
          <w:lang w:eastAsia="en-IN"/>
        </w:rPr>
        <w:t xml:space="preserve"> of AAOs</w:t>
      </w:r>
      <w:r w:rsidR="00C85101" w:rsidRPr="00FC1FC2">
        <w:rPr>
          <w:rFonts w:ascii="Bookman Old Style" w:eastAsia="Times New Roman" w:hAnsi="Bookman Old Style" w:cs="Times New Roman"/>
          <w:b/>
          <w:lang w:eastAsia="en-IN"/>
        </w:rPr>
        <w:t xml:space="preserve"> </w:t>
      </w:r>
      <w:r w:rsidR="005D4B85" w:rsidRPr="00FC1FC2">
        <w:rPr>
          <w:rFonts w:ascii="Bookman Old Style" w:eastAsia="Times New Roman" w:hAnsi="Bookman Old Style" w:cs="Times New Roman"/>
          <w:b/>
          <w:lang w:eastAsia="en-IN"/>
        </w:rPr>
        <w:t>of</w:t>
      </w:r>
      <w:r w:rsidR="00E12D70" w:rsidRPr="00FC1FC2">
        <w:rPr>
          <w:rFonts w:ascii="Bookman Old Style" w:eastAsia="Times New Roman" w:hAnsi="Bookman Old Style" w:cs="Times New Roman"/>
          <w:b/>
          <w:lang w:eastAsia="en-IN"/>
        </w:rPr>
        <w:t xml:space="preserve"> Railway Accounts </w:t>
      </w:r>
      <w:r w:rsidR="00874CB1" w:rsidRPr="00FC1FC2">
        <w:rPr>
          <w:rFonts w:ascii="Bookman Old Style" w:eastAsia="Times New Roman" w:hAnsi="Bookman Old Style" w:cs="Times New Roman"/>
          <w:b/>
          <w:lang w:eastAsia="en-IN"/>
        </w:rPr>
        <w:t>and</w:t>
      </w:r>
      <w:r w:rsidR="00E12D70" w:rsidRPr="00FC1FC2">
        <w:rPr>
          <w:rFonts w:ascii="Bookman Old Style" w:eastAsia="Times New Roman" w:hAnsi="Bookman Old Style" w:cs="Times New Roman"/>
          <w:b/>
          <w:lang w:eastAsia="en-IN"/>
        </w:rPr>
        <w:t xml:space="preserve"> rest of the</w:t>
      </w:r>
      <w:r w:rsidR="00C85101" w:rsidRPr="00FC1FC2">
        <w:rPr>
          <w:rFonts w:ascii="Bookman Old Style" w:eastAsia="Times New Roman" w:hAnsi="Bookman Old Style" w:cs="Times New Roman"/>
          <w:b/>
          <w:lang w:eastAsia="en-IN"/>
        </w:rPr>
        <w:t xml:space="preserve"> Organized Accounts</w:t>
      </w:r>
      <w:r w:rsidR="00E16C25" w:rsidRPr="00FC1FC2">
        <w:rPr>
          <w:rFonts w:ascii="Bookman Old Style" w:eastAsia="Times New Roman" w:hAnsi="Bookman Old Style" w:cs="Times New Roman"/>
          <w:b/>
          <w:lang w:eastAsia="en-IN"/>
        </w:rPr>
        <w:t xml:space="preserve"> </w:t>
      </w:r>
      <w:r w:rsidR="00CD7C74" w:rsidRPr="00FC1FC2">
        <w:rPr>
          <w:rFonts w:ascii="Bookman Old Style" w:eastAsia="Times New Roman" w:hAnsi="Bookman Old Style" w:cs="Times New Roman"/>
          <w:b/>
          <w:lang w:eastAsia="en-IN"/>
        </w:rPr>
        <w:t>which was also recommended by 6</w:t>
      </w:r>
      <w:r w:rsidR="00CD7C74" w:rsidRPr="00FC1FC2">
        <w:rPr>
          <w:rFonts w:ascii="Bookman Old Style" w:eastAsia="Times New Roman" w:hAnsi="Bookman Old Style" w:cs="Times New Roman"/>
          <w:b/>
          <w:vertAlign w:val="superscript"/>
          <w:lang w:eastAsia="en-IN"/>
        </w:rPr>
        <w:t>th</w:t>
      </w:r>
      <w:r w:rsidR="00CD7C74" w:rsidRPr="00FC1FC2">
        <w:rPr>
          <w:rFonts w:ascii="Bookman Old Style" w:eastAsia="Times New Roman" w:hAnsi="Bookman Old Style" w:cs="Times New Roman"/>
          <w:b/>
          <w:lang w:eastAsia="en-IN"/>
        </w:rPr>
        <w:t xml:space="preserve"> CPC, the pay of AAO posts may be upgraded to </w:t>
      </w:r>
      <w:r w:rsidR="00DD313F" w:rsidRPr="00FC1FC2">
        <w:rPr>
          <w:rFonts w:ascii="Bookman Old Style" w:eastAsia="Times New Roman" w:hAnsi="Bookman Old Style" w:cs="Times New Roman"/>
          <w:b/>
          <w:lang w:eastAsia="en-IN"/>
        </w:rPr>
        <w:t>Level 9</w:t>
      </w:r>
      <w:r w:rsidR="001B6441" w:rsidRPr="00FC1FC2">
        <w:rPr>
          <w:rFonts w:ascii="Bookman Old Style" w:eastAsia="Times New Roman" w:hAnsi="Bookman Old Style" w:cs="Times New Roman"/>
          <w:b/>
          <w:lang w:eastAsia="en-IN"/>
        </w:rPr>
        <w:t xml:space="preserve">/ GP of </w:t>
      </w:r>
      <w:proofErr w:type="spellStart"/>
      <w:r w:rsidR="001B6441" w:rsidRPr="00FC1FC2">
        <w:rPr>
          <w:rFonts w:ascii="Bookman Old Style" w:eastAsia="Times New Roman" w:hAnsi="Bookman Old Style" w:cs="Times New Roman"/>
          <w:b/>
          <w:lang w:eastAsia="en-IN"/>
        </w:rPr>
        <w:t>Rs</w:t>
      </w:r>
      <w:proofErr w:type="spellEnd"/>
      <w:r w:rsidR="001B6441" w:rsidRPr="00FC1FC2">
        <w:rPr>
          <w:rFonts w:ascii="Bookman Old Style" w:eastAsia="Times New Roman" w:hAnsi="Bookman Old Style" w:cs="Times New Roman"/>
          <w:b/>
          <w:lang w:eastAsia="en-IN"/>
        </w:rPr>
        <w:t xml:space="preserve">. 5400 in PB-2 </w:t>
      </w:r>
      <w:proofErr w:type="spellStart"/>
      <w:r w:rsidR="001B6441" w:rsidRPr="00FC1FC2">
        <w:rPr>
          <w:rFonts w:ascii="Bookman Old Style" w:eastAsia="Times New Roman" w:hAnsi="Bookman Old Style" w:cs="Times New Roman"/>
          <w:b/>
          <w:lang w:eastAsia="en-IN"/>
        </w:rPr>
        <w:t>Rs</w:t>
      </w:r>
      <w:proofErr w:type="spellEnd"/>
      <w:r w:rsidR="001B6441" w:rsidRPr="00FC1FC2">
        <w:rPr>
          <w:rFonts w:ascii="Bookman Old Style" w:eastAsia="Times New Roman" w:hAnsi="Bookman Old Style" w:cs="Times New Roman"/>
          <w:b/>
          <w:lang w:eastAsia="en-IN"/>
        </w:rPr>
        <w:t>. 9300-34800 in 6</w:t>
      </w:r>
      <w:r w:rsidR="001B6441" w:rsidRPr="00FC1FC2">
        <w:rPr>
          <w:rFonts w:ascii="Bookman Old Style" w:eastAsia="Times New Roman" w:hAnsi="Bookman Old Style" w:cs="Times New Roman"/>
          <w:b/>
          <w:vertAlign w:val="superscript"/>
          <w:lang w:eastAsia="en-IN"/>
        </w:rPr>
        <w:t>th</w:t>
      </w:r>
      <w:r w:rsidR="001B6441" w:rsidRPr="00FC1FC2">
        <w:rPr>
          <w:rFonts w:ascii="Bookman Old Style" w:eastAsia="Times New Roman" w:hAnsi="Bookman Old Style" w:cs="Times New Roman"/>
          <w:b/>
          <w:lang w:eastAsia="en-IN"/>
        </w:rPr>
        <w:t xml:space="preserve"> CPC </w:t>
      </w:r>
      <w:proofErr w:type="spellStart"/>
      <w:r w:rsidR="001B6441" w:rsidRPr="00FC1FC2">
        <w:rPr>
          <w:rFonts w:ascii="Bookman Old Style" w:eastAsia="Times New Roman" w:hAnsi="Bookman Old Style" w:cs="Times New Roman"/>
          <w:b/>
          <w:lang w:eastAsia="en-IN"/>
        </w:rPr>
        <w:t>w.e.f</w:t>
      </w:r>
      <w:proofErr w:type="spellEnd"/>
      <w:r w:rsidR="001B6441" w:rsidRPr="00FC1FC2">
        <w:rPr>
          <w:rFonts w:ascii="Bookman Old Style" w:eastAsia="Times New Roman" w:hAnsi="Bookman Old Style" w:cs="Times New Roman"/>
          <w:b/>
          <w:lang w:eastAsia="en-IN"/>
        </w:rPr>
        <w:t xml:space="preserve"> 01.01.200</w:t>
      </w:r>
      <w:r w:rsidR="00B01188" w:rsidRPr="00FC1FC2">
        <w:rPr>
          <w:rFonts w:ascii="Bookman Old Style" w:eastAsia="Times New Roman" w:hAnsi="Bookman Old Style" w:cs="Times New Roman"/>
          <w:b/>
          <w:lang w:eastAsia="en-IN"/>
        </w:rPr>
        <w:t>6</w:t>
      </w:r>
      <w:r w:rsidR="00FC1FC2" w:rsidRPr="00FC1FC2">
        <w:rPr>
          <w:rFonts w:ascii="Bookman Old Style" w:eastAsia="Times New Roman" w:hAnsi="Bookman Old Style" w:cs="Times New Roman"/>
          <w:b/>
          <w:lang w:eastAsia="en-IN"/>
        </w:rPr>
        <w:t xml:space="preserve"> </w:t>
      </w:r>
      <w:r w:rsidR="00FC1FC2" w:rsidRPr="00FC1FC2">
        <w:rPr>
          <w:rFonts w:ascii="Bookman Old Style" w:hAnsi="Bookman Old Style"/>
        </w:rPr>
        <w:t xml:space="preserve">to establish the principle of </w:t>
      </w:r>
      <w:r w:rsidR="00FC1FC2" w:rsidRPr="00FC1FC2">
        <w:rPr>
          <w:rFonts w:ascii="Bookman Old Style" w:hAnsi="Bookman Old Style"/>
          <w:b/>
          <w:bCs/>
        </w:rPr>
        <w:t>"Equal Pay for Equal Work" and right to equality as ens</w:t>
      </w:r>
      <w:r w:rsidR="00BC4364">
        <w:rPr>
          <w:rFonts w:ascii="Bookman Old Style" w:hAnsi="Bookman Old Style"/>
          <w:b/>
          <w:bCs/>
        </w:rPr>
        <w:t>hrined in Article 14 and Articl</w:t>
      </w:r>
      <w:r w:rsidR="00FC1FC2" w:rsidRPr="00FC1FC2">
        <w:rPr>
          <w:rFonts w:ascii="Bookman Old Style" w:hAnsi="Bookman Old Style"/>
          <w:b/>
          <w:bCs/>
        </w:rPr>
        <w:t>e 16(1) of the Constitution of India</w:t>
      </w:r>
      <w:r w:rsidR="000667DC" w:rsidRPr="00FC1FC2">
        <w:rPr>
          <w:rFonts w:ascii="Bookman Old Style" w:eastAsia="Times New Roman" w:hAnsi="Bookman Old Style" w:cs="Times New Roman"/>
          <w:b/>
          <w:lang w:eastAsia="en-IN"/>
        </w:rPr>
        <w:t>.</w:t>
      </w:r>
      <w:r w:rsidR="006565BD">
        <w:rPr>
          <w:rFonts w:ascii="Bookman Old Style" w:eastAsia="Times New Roman" w:hAnsi="Bookman Old Style" w:cs="Times New Roman"/>
          <w:b/>
          <w:lang w:eastAsia="en-IN"/>
        </w:rPr>
        <w:t xml:space="preserve"> </w:t>
      </w:r>
    </w:p>
    <w:p w:rsidR="00485A60" w:rsidRPr="006565BD" w:rsidRDefault="00485A60" w:rsidP="00E729E9">
      <w:pPr>
        <w:jc w:val="both"/>
        <w:rPr>
          <w:rFonts w:ascii="Bookman Old Style" w:eastAsia="Times New Roman" w:hAnsi="Bookman Old Style" w:cs="Times New Roman"/>
          <w:lang w:eastAsia="en-IN"/>
        </w:rPr>
      </w:pPr>
    </w:p>
    <w:p w:rsidR="00B15F8F" w:rsidRPr="00E729E9" w:rsidRDefault="00B15F8F" w:rsidP="00E729E9">
      <w:pPr>
        <w:jc w:val="both"/>
        <w:rPr>
          <w:rFonts w:ascii="Bookman Old Style" w:eastAsia="Times New Roman" w:hAnsi="Bookman Old Style" w:cs="Times New Roman"/>
          <w:b/>
          <w:lang w:eastAsia="en-IN"/>
        </w:rPr>
      </w:pPr>
      <w:r w:rsidRPr="00E729E9">
        <w:rPr>
          <w:rFonts w:ascii="Bookman Old Style" w:hAnsi="Bookman Old Style"/>
          <w:b/>
        </w:rPr>
        <w:t xml:space="preserve">1.3 </w:t>
      </w:r>
      <w:r w:rsidR="00977905" w:rsidRPr="00E729E9">
        <w:rPr>
          <w:rFonts w:ascii="Bookman Old Style" w:hAnsi="Bookman Old Style"/>
          <w:b/>
        </w:rPr>
        <w:t>GRAN</w:t>
      </w:r>
      <w:r w:rsidR="00D43AAD" w:rsidRPr="00E729E9">
        <w:rPr>
          <w:rFonts w:ascii="Bookman Old Style" w:hAnsi="Bookman Old Style"/>
          <w:b/>
        </w:rPr>
        <w:t xml:space="preserve">T NFU AT </w:t>
      </w:r>
      <w:r w:rsidR="0000105F" w:rsidRPr="00E729E9">
        <w:rPr>
          <w:rFonts w:ascii="Bookman Old Style" w:hAnsi="Bookman Old Style"/>
          <w:b/>
        </w:rPr>
        <w:t>LEVEL 10 TO AAO AFTER 4</w:t>
      </w:r>
      <w:r w:rsidR="00977905" w:rsidRPr="00E729E9">
        <w:rPr>
          <w:rFonts w:ascii="Bookman Old Style" w:hAnsi="Bookman Old Style"/>
          <w:b/>
        </w:rPr>
        <w:t xml:space="preserve"> YEA</w:t>
      </w:r>
      <w:r w:rsidR="003F2A68" w:rsidRPr="00E729E9">
        <w:rPr>
          <w:rFonts w:ascii="Bookman Old Style" w:hAnsi="Bookman Old Style"/>
          <w:b/>
        </w:rPr>
        <w:t>RS AND FURTHER NFU UPTO LEVEL 12</w:t>
      </w:r>
      <w:r w:rsidR="00E7484A" w:rsidRPr="00E729E9">
        <w:rPr>
          <w:rFonts w:ascii="Bookman Old Style" w:hAnsi="Bookman Old Style"/>
          <w:b/>
        </w:rPr>
        <w:t>/LEVEL 13</w:t>
      </w:r>
      <w:r w:rsidR="004173C6" w:rsidRPr="00E729E9">
        <w:rPr>
          <w:rFonts w:ascii="Bookman Old Style" w:hAnsi="Bookman Old Style"/>
          <w:b/>
        </w:rPr>
        <w:t xml:space="preserve"> AT EVERY 6</w:t>
      </w:r>
      <w:r w:rsidR="00316DC9" w:rsidRPr="00E729E9">
        <w:rPr>
          <w:rFonts w:ascii="Bookman Old Style" w:hAnsi="Bookman Old Style"/>
          <w:b/>
        </w:rPr>
        <w:t xml:space="preserve"> YEARS ENSURING MINIMUM 3</w:t>
      </w:r>
      <w:r w:rsidR="00977905" w:rsidRPr="00E729E9">
        <w:rPr>
          <w:rFonts w:ascii="Bookman Old Style" w:hAnsi="Bookman Old Style"/>
          <w:b/>
        </w:rPr>
        <w:t xml:space="preserve"> FINANCIAL UPGRADATIONS</w:t>
      </w:r>
      <w:r w:rsidR="009A2372" w:rsidRPr="00E729E9">
        <w:rPr>
          <w:rFonts w:ascii="Bookman Old Style" w:hAnsi="Bookman Old Style"/>
          <w:b/>
        </w:rPr>
        <w:t xml:space="preserve"> IN SERVICE</w:t>
      </w:r>
      <w:r w:rsidR="00711BF2" w:rsidRPr="00E729E9">
        <w:rPr>
          <w:rFonts w:ascii="Bookman Old Style" w:hAnsi="Bookman Old Style"/>
          <w:b/>
        </w:rPr>
        <w:t xml:space="preserve"> </w:t>
      </w:r>
      <w:r w:rsidR="00E7484A" w:rsidRPr="00E729E9">
        <w:rPr>
          <w:rFonts w:ascii="Bookman Old Style" w:hAnsi="Bookman Old Style"/>
          <w:b/>
        </w:rPr>
        <w:t>TO</w:t>
      </w:r>
      <w:r w:rsidR="00711BF2" w:rsidRPr="00E729E9">
        <w:rPr>
          <w:rFonts w:ascii="Bookman Old Style" w:hAnsi="Bookman Old Style"/>
          <w:b/>
        </w:rPr>
        <w:t xml:space="preserve"> AAO</w:t>
      </w:r>
      <w:r w:rsidR="00E7484A" w:rsidRPr="00E729E9">
        <w:rPr>
          <w:rFonts w:ascii="Bookman Old Style" w:hAnsi="Bookman Old Style"/>
          <w:b/>
        </w:rPr>
        <w:t>/Sr. AO</w:t>
      </w:r>
      <w:r w:rsidR="00BF6A7C" w:rsidRPr="00E729E9">
        <w:rPr>
          <w:rFonts w:ascii="Bookman Old Style" w:hAnsi="Bookman Old Style"/>
          <w:b/>
        </w:rPr>
        <w:t>s</w:t>
      </w:r>
      <w:r w:rsidR="00E7484A" w:rsidRPr="00E729E9">
        <w:rPr>
          <w:rFonts w:ascii="Bookman Old Style" w:hAnsi="Bookman Old Style"/>
          <w:b/>
        </w:rPr>
        <w:t xml:space="preserve"> RESPECTIVELY</w:t>
      </w:r>
      <w:r w:rsidRPr="00E729E9">
        <w:rPr>
          <w:rFonts w:ascii="Bookman Old Style" w:hAnsi="Bookman Old Style"/>
          <w:b/>
        </w:rPr>
        <w:t>:</w:t>
      </w:r>
    </w:p>
    <w:p w:rsidR="00B15F8F" w:rsidRDefault="009A2372" w:rsidP="00B15F8F">
      <w:pPr>
        <w:spacing w:after="0" w:line="240" w:lineRule="auto"/>
        <w:ind w:firstLine="720"/>
        <w:jc w:val="both"/>
        <w:rPr>
          <w:rFonts w:ascii="Bookman Old Style" w:hAnsi="Bookman Old Style"/>
        </w:rPr>
      </w:pPr>
      <w:r>
        <w:rPr>
          <w:rFonts w:ascii="Bookman Old Style" w:hAnsi="Bookman Old Style"/>
        </w:rPr>
        <w:t>The post</w:t>
      </w:r>
      <w:r w:rsidR="00DB01B2">
        <w:rPr>
          <w:rFonts w:ascii="Bookman Old Style" w:hAnsi="Bookman Old Style"/>
        </w:rPr>
        <w:t>s of Assistant Accounts/Audit Officer are filled up through LDCE from Departmental employees who pass SAS</w:t>
      </w:r>
      <w:r w:rsidR="00B67BB4">
        <w:rPr>
          <w:rFonts w:ascii="Bookman Old Style" w:hAnsi="Bookman Old Style"/>
        </w:rPr>
        <w:t>/SAS Equivalent</w:t>
      </w:r>
      <w:r w:rsidR="00DB01B2">
        <w:rPr>
          <w:rFonts w:ascii="Bookman Old Style" w:hAnsi="Bookman Old Style"/>
        </w:rPr>
        <w:t xml:space="preserve"> Examinations</w:t>
      </w:r>
      <w:r w:rsidR="00B67BB4">
        <w:rPr>
          <w:rFonts w:ascii="Bookman Old Style" w:hAnsi="Bookman Old Style"/>
        </w:rPr>
        <w:t xml:space="preserve"> and also through Direct Recruitment from SSC or through Deputations</w:t>
      </w:r>
      <w:r w:rsidR="00DB01B2">
        <w:rPr>
          <w:rFonts w:ascii="Bookman Old Style" w:hAnsi="Bookman Old Style"/>
        </w:rPr>
        <w:t xml:space="preserve">. </w:t>
      </w:r>
      <w:r w:rsidR="00B67BB4">
        <w:rPr>
          <w:rFonts w:ascii="Bookman Old Style" w:hAnsi="Bookman Old Style"/>
        </w:rPr>
        <w:t>The cadre strength of Organized Accounts Cadre from AAO to JTS are furnished below.</w:t>
      </w:r>
    </w:p>
    <w:p w:rsidR="00427577" w:rsidRDefault="00427577" w:rsidP="00B15F8F">
      <w:pPr>
        <w:spacing w:after="0" w:line="240" w:lineRule="auto"/>
        <w:ind w:firstLine="720"/>
        <w:jc w:val="both"/>
        <w:rPr>
          <w:rFonts w:ascii="Bookman Old Style" w:hAnsi="Bookman Old Style"/>
        </w:rPr>
      </w:pPr>
    </w:p>
    <w:tbl>
      <w:tblPr>
        <w:tblStyle w:val="TableGrid"/>
        <w:tblW w:w="8995" w:type="dxa"/>
        <w:tblLook w:val="04A0" w:firstRow="1" w:lastRow="0" w:firstColumn="1" w:lastColumn="0" w:noHBand="0" w:noVBand="1"/>
      </w:tblPr>
      <w:tblGrid>
        <w:gridCol w:w="1803"/>
        <w:gridCol w:w="1803"/>
        <w:gridCol w:w="1803"/>
        <w:gridCol w:w="1803"/>
        <w:gridCol w:w="1783"/>
      </w:tblGrid>
      <w:tr w:rsidR="001A5442" w:rsidTr="006E1D82">
        <w:trPr>
          <w:trHeight w:val="228"/>
        </w:trPr>
        <w:tc>
          <w:tcPr>
            <w:tcW w:w="1803" w:type="dxa"/>
            <w:vMerge w:val="restart"/>
          </w:tcPr>
          <w:p w:rsidR="001A5442" w:rsidRPr="002D24CE" w:rsidRDefault="001A5442" w:rsidP="002D24CE">
            <w:pPr>
              <w:jc w:val="both"/>
              <w:rPr>
                <w:rFonts w:ascii="Bookman Old Style" w:eastAsia="Times New Roman" w:hAnsi="Bookman Old Style" w:cs="Times New Roman"/>
                <w:b/>
                <w:lang w:eastAsia="en-IN"/>
              </w:rPr>
            </w:pPr>
            <w:r w:rsidRPr="002D24CE">
              <w:rPr>
                <w:rFonts w:ascii="Bookman Old Style" w:eastAsia="Times New Roman" w:hAnsi="Bookman Old Style" w:cs="Times New Roman"/>
                <w:b/>
                <w:lang w:eastAsia="en-IN"/>
              </w:rPr>
              <w:t xml:space="preserve">Name of the </w:t>
            </w:r>
            <w:r w:rsidR="002D24CE" w:rsidRPr="002D24CE">
              <w:rPr>
                <w:rFonts w:ascii="Bookman Old Style" w:eastAsia="Times New Roman" w:hAnsi="Bookman Old Style" w:cs="Times New Roman"/>
                <w:b/>
                <w:lang w:eastAsia="en-IN"/>
              </w:rPr>
              <w:t>Posts</w:t>
            </w:r>
          </w:p>
        </w:tc>
        <w:tc>
          <w:tcPr>
            <w:tcW w:w="7192" w:type="dxa"/>
            <w:gridSpan w:val="4"/>
          </w:tcPr>
          <w:p w:rsidR="001A5442" w:rsidRPr="002D24CE" w:rsidRDefault="002D24CE" w:rsidP="002D24CE">
            <w:pPr>
              <w:jc w:val="center"/>
              <w:rPr>
                <w:rFonts w:ascii="Bookman Old Style" w:eastAsia="Times New Roman" w:hAnsi="Bookman Old Style" w:cs="Times New Roman"/>
                <w:b/>
                <w:lang w:eastAsia="en-IN"/>
              </w:rPr>
            </w:pPr>
            <w:r w:rsidRPr="002D24CE">
              <w:rPr>
                <w:rFonts w:ascii="Bookman Old Style" w:eastAsia="Times New Roman" w:hAnsi="Bookman Old Style" w:cs="Times New Roman"/>
                <w:b/>
                <w:lang w:eastAsia="en-IN"/>
              </w:rPr>
              <w:t>Number of Posts in various Departments</w:t>
            </w:r>
          </w:p>
        </w:tc>
      </w:tr>
      <w:tr w:rsidR="001A5442" w:rsidTr="006E1D82">
        <w:trPr>
          <w:trHeight w:val="292"/>
        </w:trPr>
        <w:tc>
          <w:tcPr>
            <w:tcW w:w="1803" w:type="dxa"/>
            <w:vMerge/>
          </w:tcPr>
          <w:p w:rsidR="001A5442" w:rsidRPr="002D24CE" w:rsidRDefault="001A5442" w:rsidP="00B15F8F">
            <w:pPr>
              <w:jc w:val="both"/>
              <w:rPr>
                <w:rFonts w:ascii="Bookman Old Style" w:eastAsia="Times New Roman" w:hAnsi="Bookman Old Style" w:cs="Times New Roman"/>
                <w:b/>
                <w:lang w:eastAsia="en-IN"/>
              </w:rPr>
            </w:pPr>
          </w:p>
        </w:tc>
        <w:tc>
          <w:tcPr>
            <w:tcW w:w="1803" w:type="dxa"/>
          </w:tcPr>
          <w:p w:rsidR="001A5442" w:rsidRPr="002D24CE" w:rsidRDefault="00527CC8" w:rsidP="00B15F8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w:t>
            </w:r>
            <w:r w:rsidR="001B315D">
              <w:rPr>
                <w:rFonts w:ascii="Bookman Old Style" w:eastAsia="Times New Roman" w:hAnsi="Bookman Old Style" w:cs="Times New Roman"/>
                <w:b/>
                <w:lang w:eastAsia="en-IN"/>
              </w:rPr>
              <w:t>&amp;T</w:t>
            </w:r>
          </w:p>
        </w:tc>
        <w:tc>
          <w:tcPr>
            <w:tcW w:w="1803" w:type="dxa"/>
          </w:tcPr>
          <w:p w:rsidR="001A5442" w:rsidRPr="002D24CE" w:rsidRDefault="001B315D" w:rsidP="00B15F8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Defence</w:t>
            </w:r>
          </w:p>
        </w:tc>
        <w:tc>
          <w:tcPr>
            <w:tcW w:w="1803" w:type="dxa"/>
          </w:tcPr>
          <w:p w:rsidR="001A5442" w:rsidRPr="002D24CE" w:rsidRDefault="001B315D" w:rsidP="00B15F8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CGA</w:t>
            </w:r>
          </w:p>
        </w:tc>
        <w:tc>
          <w:tcPr>
            <w:tcW w:w="1783" w:type="dxa"/>
          </w:tcPr>
          <w:p w:rsidR="001A5442" w:rsidRPr="002D24CE" w:rsidRDefault="001B315D" w:rsidP="00B15F8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CAG</w:t>
            </w:r>
          </w:p>
        </w:tc>
      </w:tr>
      <w:tr w:rsidR="001A5442" w:rsidTr="006E1D82">
        <w:tc>
          <w:tcPr>
            <w:tcW w:w="1803" w:type="dxa"/>
          </w:tcPr>
          <w:p w:rsidR="001A5442" w:rsidRDefault="002D24CE"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AAO</w:t>
            </w:r>
          </w:p>
        </w:tc>
        <w:tc>
          <w:tcPr>
            <w:tcW w:w="1803" w:type="dxa"/>
          </w:tcPr>
          <w:p w:rsidR="001A5442" w:rsidRDefault="002E7FFB"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1208</w:t>
            </w:r>
          </w:p>
        </w:tc>
        <w:tc>
          <w:tcPr>
            <w:tcW w:w="1803" w:type="dxa"/>
          </w:tcPr>
          <w:p w:rsidR="001A5442" w:rsidRDefault="003F01FE"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3690</w:t>
            </w:r>
          </w:p>
        </w:tc>
        <w:tc>
          <w:tcPr>
            <w:tcW w:w="1803" w:type="dxa"/>
          </w:tcPr>
          <w:p w:rsidR="001A5442" w:rsidRDefault="00AE0F69"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2153</w:t>
            </w:r>
          </w:p>
        </w:tc>
        <w:tc>
          <w:tcPr>
            <w:tcW w:w="1783" w:type="dxa"/>
          </w:tcPr>
          <w:p w:rsidR="001A5442" w:rsidRDefault="00587273"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11936</w:t>
            </w:r>
          </w:p>
        </w:tc>
      </w:tr>
      <w:tr w:rsidR="001A5442" w:rsidTr="006E1D82">
        <w:tc>
          <w:tcPr>
            <w:tcW w:w="1803" w:type="dxa"/>
          </w:tcPr>
          <w:p w:rsidR="001A5442" w:rsidRDefault="002D24CE"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AO/Sr. AO (Merged)</w:t>
            </w:r>
          </w:p>
        </w:tc>
        <w:tc>
          <w:tcPr>
            <w:tcW w:w="1803" w:type="dxa"/>
          </w:tcPr>
          <w:p w:rsidR="001A5442" w:rsidRDefault="002E7FFB"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470</w:t>
            </w:r>
          </w:p>
        </w:tc>
        <w:tc>
          <w:tcPr>
            <w:tcW w:w="1803" w:type="dxa"/>
          </w:tcPr>
          <w:p w:rsidR="001A5442" w:rsidRDefault="00EB34B5"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2108</w:t>
            </w:r>
          </w:p>
        </w:tc>
        <w:tc>
          <w:tcPr>
            <w:tcW w:w="1803" w:type="dxa"/>
          </w:tcPr>
          <w:p w:rsidR="001A5442" w:rsidRDefault="00C93FC6"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1159</w:t>
            </w:r>
          </w:p>
        </w:tc>
        <w:tc>
          <w:tcPr>
            <w:tcW w:w="1783" w:type="dxa"/>
          </w:tcPr>
          <w:p w:rsidR="001A5442" w:rsidRDefault="00517AF4" w:rsidP="00B15F8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5510</w:t>
            </w:r>
          </w:p>
        </w:tc>
      </w:tr>
      <w:tr w:rsidR="00BB200F" w:rsidTr="006E1D82">
        <w:tc>
          <w:tcPr>
            <w:tcW w:w="1803" w:type="dxa"/>
          </w:tcPr>
          <w:p w:rsidR="00BB200F" w:rsidRDefault="00BB200F" w:rsidP="00BB200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JTS</w:t>
            </w:r>
            <w:r w:rsidR="00752639">
              <w:rPr>
                <w:rFonts w:ascii="Bookman Old Style" w:eastAsia="Times New Roman" w:hAnsi="Bookman Old Style" w:cs="Times New Roman"/>
                <w:lang w:eastAsia="en-IN"/>
              </w:rPr>
              <w:t>/Non-IAAS Promotional Posts</w:t>
            </w:r>
            <w:r w:rsidR="00B7613B">
              <w:rPr>
                <w:rFonts w:ascii="Bookman Old Style" w:eastAsia="Times New Roman" w:hAnsi="Bookman Old Style" w:cs="Times New Roman"/>
                <w:lang w:eastAsia="en-IN"/>
              </w:rPr>
              <w:t xml:space="preserve"> to Sr. AO</w:t>
            </w:r>
          </w:p>
        </w:tc>
        <w:tc>
          <w:tcPr>
            <w:tcW w:w="1803" w:type="dxa"/>
          </w:tcPr>
          <w:p w:rsidR="00BB200F" w:rsidRDefault="00BB200F" w:rsidP="00BB200F">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88 (Only 44 Posts for SCF 50% Quota)</w:t>
            </w:r>
          </w:p>
        </w:tc>
        <w:tc>
          <w:tcPr>
            <w:tcW w:w="1803" w:type="dxa"/>
          </w:tcPr>
          <w:p w:rsidR="00BB200F" w:rsidRDefault="00756DE0" w:rsidP="00F501B9">
            <w:r>
              <w:rPr>
                <w:rFonts w:ascii="Bookman Old Style" w:eastAsia="Times New Roman" w:hAnsi="Bookman Old Style" w:cs="Times New Roman"/>
                <w:lang w:eastAsia="en-IN"/>
              </w:rPr>
              <w:t>167</w:t>
            </w:r>
            <w:r w:rsidR="00F501B9">
              <w:rPr>
                <w:rFonts w:ascii="Bookman Old Style" w:eastAsia="Times New Roman" w:hAnsi="Bookman Old Style" w:cs="Times New Roman"/>
                <w:lang w:eastAsia="en-IN"/>
              </w:rPr>
              <w:t xml:space="preserve"> (Only 83</w:t>
            </w:r>
            <w:r w:rsidR="00BB200F" w:rsidRPr="003D209B">
              <w:rPr>
                <w:rFonts w:ascii="Bookman Old Style" w:eastAsia="Times New Roman" w:hAnsi="Bookman Old Style" w:cs="Times New Roman"/>
                <w:lang w:eastAsia="en-IN"/>
              </w:rPr>
              <w:t xml:space="preserve"> Posts for SCF 50% Quota)</w:t>
            </w:r>
          </w:p>
        </w:tc>
        <w:tc>
          <w:tcPr>
            <w:tcW w:w="1803" w:type="dxa"/>
          </w:tcPr>
          <w:p w:rsidR="00BB200F" w:rsidRDefault="00BB200F" w:rsidP="00BB200F">
            <w:r w:rsidRPr="003D209B">
              <w:rPr>
                <w:rFonts w:ascii="Bookman Old Style" w:eastAsia="Times New Roman" w:hAnsi="Bookman Old Style" w:cs="Times New Roman"/>
                <w:lang w:eastAsia="en-IN"/>
              </w:rPr>
              <w:t>8</w:t>
            </w:r>
            <w:r w:rsidR="00C60222">
              <w:rPr>
                <w:rFonts w:ascii="Bookman Old Style" w:eastAsia="Times New Roman" w:hAnsi="Bookman Old Style" w:cs="Times New Roman"/>
                <w:lang w:eastAsia="en-IN"/>
              </w:rPr>
              <w:t>0</w:t>
            </w:r>
            <w:r w:rsidR="00CD3797">
              <w:rPr>
                <w:rFonts w:ascii="Bookman Old Style" w:eastAsia="Times New Roman" w:hAnsi="Bookman Old Style" w:cs="Times New Roman"/>
                <w:lang w:eastAsia="en-IN"/>
              </w:rPr>
              <w:t xml:space="preserve"> (Only 40</w:t>
            </w:r>
            <w:r w:rsidRPr="003D209B">
              <w:rPr>
                <w:rFonts w:ascii="Bookman Old Style" w:eastAsia="Times New Roman" w:hAnsi="Bookman Old Style" w:cs="Times New Roman"/>
                <w:lang w:eastAsia="en-IN"/>
              </w:rPr>
              <w:t xml:space="preserve"> Posts for SCF 50% Quota)</w:t>
            </w:r>
          </w:p>
        </w:tc>
        <w:tc>
          <w:tcPr>
            <w:tcW w:w="1783" w:type="dxa"/>
          </w:tcPr>
          <w:p w:rsidR="00BB200F" w:rsidRDefault="00C60222" w:rsidP="00BB200F">
            <w:r>
              <w:rPr>
                <w:rFonts w:ascii="Bookman Old Style" w:eastAsia="Times New Roman" w:hAnsi="Bookman Old Style" w:cs="Times New Roman"/>
                <w:lang w:eastAsia="en-IN"/>
              </w:rPr>
              <w:t>127</w:t>
            </w:r>
            <w:r w:rsidR="00CD3797">
              <w:rPr>
                <w:rFonts w:ascii="Bookman Old Style" w:eastAsia="Times New Roman" w:hAnsi="Bookman Old Style" w:cs="Times New Roman"/>
                <w:lang w:eastAsia="en-IN"/>
              </w:rPr>
              <w:t xml:space="preserve"> (Only 64</w:t>
            </w:r>
            <w:r w:rsidR="00BB200F" w:rsidRPr="003D209B">
              <w:rPr>
                <w:rFonts w:ascii="Bookman Old Style" w:eastAsia="Times New Roman" w:hAnsi="Bookman Old Style" w:cs="Times New Roman"/>
                <w:lang w:eastAsia="en-IN"/>
              </w:rPr>
              <w:t xml:space="preserve"> Posts for SCF 50% Quota)</w:t>
            </w:r>
            <w:r w:rsidR="00B7613B">
              <w:rPr>
                <w:rFonts w:ascii="Bookman Old Style" w:eastAsia="Times New Roman" w:hAnsi="Bookman Old Style" w:cs="Times New Roman"/>
                <w:lang w:eastAsia="en-IN"/>
              </w:rPr>
              <w:t xml:space="preserve"> and 172 Non-</w:t>
            </w:r>
            <w:r w:rsidR="00B7613B">
              <w:rPr>
                <w:rFonts w:ascii="Bookman Old Style" w:eastAsia="Times New Roman" w:hAnsi="Bookman Old Style" w:cs="Times New Roman"/>
                <w:lang w:eastAsia="en-IN"/>
              </w:rPr>
              <w:lastRenderedPageBreak/>
              <w:t xml:space="preserve">IAAS </w:t>
            </w:r>
            <w:r w:rsidR="00164AEB">
              <w:rPr>
                <w:rFonts w:ascii="Bookman Old Style" w:eastAsia="Times New Roman" w:hAnsi="Bookman Old Style" w:cs="Times New Roman"/>
                <w:lang w:eastAsia="en-IN"/>
              </w:rPr>
              <w:t xml:space="preserve">Group A DAG/DD </w:t>
            </w:r>
            <w:r w:rsidR="00B7613B">
              <w:rPr>
                <w:rFonts w:ascii="Bookman Old Style" w:eastAsia="Times New Roman" w:hAnsi="Bookman Old Style" w:cs="Times New Roman"/>
                <w:lang w:eastAsia="en-IN"/>
              </w:rPr>
              <w:t xml:space="preserve">Posts in </w:t>
            </w:r>
            <w:r w:rsidR="00F9282C">
              <w:rPr>
                <w:rFonts w:ascii="Bookman Old Style" w:eastAsia="Times New Roman" w:hAnsi="Bookman Old Style" w:cs="Times New Roman"/>
                <w:lang w:eastAsia="en-IN"/>
              </w:rPr>
              <w:t>CAG</w:t>
            </w:r>
            <w:r w:rsidR="006E1D82">
              <w:rPr>
                <w:rFonts w:ascii="Bookman Old Style" w:eastAsia="Times New Roman" w:hAnsi="Bookman Old Style" w:cs="Times New Roman"/>
                <w:lang w:eastAsia="en-IN"/>
              </w:rPr>
              <w:t xml:space="preserve">. </w:t>
            </w:r>
            <w:r w:rsidR="006E1D82" w:rsidRPr="00D17EAF">
              <w:rPr>
                <w:rFonts w:ascii="Bookman Old Style" w:eastAsia="Times New Roman" w:hAnsi="Bookman Old Style" w:cs="Times New Roman"/>
                <w:b/>
                <w:lang w:eastAsia="en-IN"/>
              </w:rPr>
              <w:t xml:space="preserve">Total </w:t>
            </w:r>
            <w:r w:rsidR="00D17EAF" w:rsidRPr="00D17EAF">
              <w:rPr>
                <w:rFonts w:ascii="Bookman Old Style" w:eastAsia="Times New Roman" w:hAnsi="Bookman Old Style" w:cs="Times New Roman"/>
                <w:b/>
                <w:lang w:eastAsia="en-IN"/>
              </w:rPr>
              <w:t>236 Posts</w:t>
            </w:r>
          </w:p>
        </w:tc>
      </w:tr>
    </w:tbl>
    <w:p w:rsidR="00B67BB4" w:rsidRDefault="00B67BB4" w:rsidP="00B15F8F">
      <w:pPr>
        <w:spacing w:after="0" w:line="240" w:lineRule="auto"/>
        <w:ind w:firstLine="720"/>
        <w:jc w:val="both"/>
        <w:rPr>
          <w:rFonts w:ascii="Bookman Old Style" w:eastAsia="Times New Roman" w:hAnsi="Bookman Old Style" w:cs="Times New Roman"/>
          <w:lang w:eastAsia="en-IN"/>
        </w:rPr>
      </w:pPr>
    </w:p>
    <w:p w:rsidR="00B15F8F" w:rsidRDefault="00B15F8F" w:rsidP="000902B6">
      <w:pPr>
        <w:spacing w:after="0" w:line="240" w:lineRule="auto"/>
        <w:ind w:firstLine="720"/>
        <w:jc w:val="both"/>
        <w:rPr>
          <w:rFonts w:ascii="Bookman Old Style" w:eastAsia="Times New Roman" w:hAnsi="Bookman Old Style" w:cs="Times New Roman"/>
          <w:lang w:eastAsia="en-IN"/>
        </w:rPr>
      </w:pPr>
    </w:p>
    <w:p w:rsidR="006E1D82" w:rsidRDefault="006E1D82" w:rsidP="000902B6">
      <w:pPr>
        <w:spacing w:after="0" w:line="240" w:lineRule="auto"/>
        <w:ind w:firstLine="720"/>
        <w:jc w:val="both"/>
        <w:rPr>
          <w:rFonts w:ascii="Bookman Old Style" w:eastAsia="Times New Roman" w:hAnsi="Bookman Old Style" w:cs="Times New Roman"/>
          <w:lang w:eastAsia="en-IN"/>
        </w:rPr>
      </w:pPr>
    </w:p>
    <w:p w:rsidR="006E1D82" w:rsidRDefault="006E1D82" w:rsidP="000902B6">
      <w:pPr>
        <w:spacing w:after="0" w:line="240" w:lineRule="auto"/>
        <w:ind w:firstLine="720"/>
        <w:jc w:val="both"/>
        <w:rPr>
          <w:rFonts w:ascii="Bookman Old Style" w:eastAsia="Times New Roman" w:hAnsi="Bookman Old Style" w:cs="Times New Roman"/>
          <w:lang w:eastAsia="en-IN"/>
        </w:rPr>
      </w:pPr>
    </w:p>
    <w:tbl>
      <w:tblPr>
        <w:tblStyle w:val="TableGrid"/>
        <w:tblW w:w="9265" w:type="dxa"/>
        <w:tblLook w:val="04A0" w:firstRow="1" w:lastRow="0" w:firstColumn="1" w:lastColumn="0" w:noHBand="0" w:noVBand="1"/>
      </w:tblPr>
      <w:tblGrid>
        <w:gridCol w:w="1803"/>
        <w:gridCol w:w="1803"/>
        <w:gridCol w:w="1803"/>
        <w:gridCol w:w="1803"/>
        <w:gridCol w:w="2053"/>
      </w:tblGrid>
      <w:tr w:rsidR="009E72B5" w:rsidRPr="002D24CE" w:rsidTr="006E1D82">
        <w:trPr>
          <w:trHeight w:val="228"/>
        </w:trPr>
        <w:tc>
          <w:tcPr>
            <w:tcW w:w="1803" w:type="dxa"/>
            <w:vMerge w:val="restart"/>
          </w:tcPr>
          <w:p w:rsidR="009E72B5" w:rsidRPr="002D24CE" w:rsidRDefault="008558D6" w:rsidP="00BB200F">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Promotion from Post to Post</w:t>
            </w:r>
          </w:p>
        </w:tc>
        <w:tc>
          <w:tcPr>
            <w:tcW w:w="7462" w:type="dxa"/>
            <w:gridSpan w:val="4"/>
          </w:tcPr>
          <w:p w:rsidR="009E72B5" w:rsidRPr="002D24CE" w:rsidRDefault="009E72B5" w:rsidP="008558D6">
            <w:pPr>
              <w:jc w:val="center"/>
              <w:rPr>
                <w:rFonts w:ascii="Bookman Old Style" w:eastAsia="Times New Roman" w:hAnsi="Bookman Old Style" w:cs="Times New Roman"/>
                <w:b/>
                <w:lang w:eastAsia="en-IN"/>
              </w:rPr>
            </w:pPr>
            <w:r>
              <w:rPr>
                <w:rFonts w:ascii="Bookman Old Style" w:eastAsia="Times New Roman" w:hAnsi="Bookman Old Style" w:cs="Times New Roman"/>
                <w:b/>
                <w:lang w:eastAsia="en-IN"/>
              </w:rPr>
              <w:t xml:space="preserve">Ratio between </w:t>
            </w:r>
            <w:r w:rsidR="008558D6">
              <w:rPr>
                <w:rFonts w:ascii="Bookman Old Style" w:eastAsia="Times New Roman" w:hAnsi="Bookman Old Style" w:cs="Times New Roman"/>
                <w:b/>
                <w:lang w:eastAsia="en-IN"/>
              </w:rPr>
              <w:t>promotional p</w:t>
            </w:r>
            <w:r>
              <w:rPr>
                <w:rFonts w:ascii="Bookman Old Style" w:eastAsia="Times New Roman" w:hAnsi="Bookman Old Style" w:cs="Times New Roman"/>
                <w:b/>
                <w:lang w:eastAsia="en-IN"/>
              </w:rPr>
              <w:t>osts</w:t>
            </w:r>
            <w:r w:rsidR="00427577">
              <w:rPr>
                <w:rFonts w:ascii="Bookman Old Style" w:eastAsia="Times New Roman" w:hAnsi="Bookman Old Style" w:cs="Times New Roman"/>
                <w:b/>
                <w:lang w:eastAsia="en-IN"/>
              </w:rPr>
              <w:t xml:space="preserve"> resulting stagnation</w:t>
            </w:r>
          </w:p>
        </w:tc>
      </w:tr>
      <w:tr w:rsidR="00B362DA" w:rsidRPr="002D24CE" w:rsidTr="006E1D82">
        <w:trPr>
          <w:trHeight w:val="292"/>
        </w:trPr>
        <w:tc>
          <w:tcPr>
            <w:tcW w:w="1803" w:type="dxa"/>
            <w:vMerge/>
          </w:tcPr>
          <w:p w:rsidR="00B362DA" w:rsidRPr="002D24CE" w:rsidRDefault="00B362DA" w:rsidP="00B362DA">
            <w:pPr>
              <w:jc w:val="both"/>
              <w:rPr>
                <w:rFonts w:ascii="Bookman Old Style" w:eastAsia="Times New Roman" w:hAnsi="Bookman Old Style" w:cs="Times New Roman"/>
                <w:b/>
                <w:lang w:eastAsia="en-IN"/>
              </w:rPr>
            </w:pPr>
          </w:p>
        </w:tc>
        <w:tc>
          <w:tcPr>
            <w:tcW w:w="1803" w:type="dxa"/>
          </w:tcPr>
          <w:p w:rsidR="00B362DA" w:rsidRPr="002D24CE" w:rsidRDefault="00B362DA" w:rsidP="00B362DA">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P&amp;T</w:t>
            </w:r>
          </w:p>
        </w:tc>
        <w:tc>
          <w:tcPr>
            <w:tcW w:w="1803" w:type="dxa"/>
          </w:tcPr>
          <w:p w:rsidR="00B362DA" w:rsidRPr="002D24CE" w:rsidRDefault="00B362DA" w:rsidP="00B362DA">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Defence</w:t>
            </w:r>
          </w:p>
        </w:tc>
        <w:tc>
          <w:tcPr>
            <w:tcW w:w="1803" w:type="dxa"/>
          </w:tcPr>
          <w:p w:rsidR="00B362DA" w:rsidRPr="002D24CE" w:rsidRDefault="00B362DA" w:rsidP="00B362DA">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CGA</w:t>
            </w:r>
          </w:p>
        </w:tc>
        <w:tc>
          <w:tcPr>
            <w:tcW w:w="2053" w:type="dxa"/>
          </w:tcPr>
          <w:p w:rsidR="00B362DA" w:rsidRPr="002D24CE" w:rsidRDefault="00B362DA" w:rsidP="00B362DA">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CAG</w:t>
            </w:r>
          </w:p>
        </w:tc>
      </w:tr>
      <w:tr w:rsidR="009070A8" w:rsidTr="006E1D82">
        <w:tc>
          <w:tcPr>
            <w:tcW w:w="1803" w:type="dxa"/>
          </w:tcPr>
          <w:p w:rsidR="009070A8" w:rsidRDefault="009070A8" w:rsidP="009070A8">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AAO to Sr. AO</w:t>
            </w:r>
          </w:p>
        </w:tc>
        <w:tc>
          <w:tcPr>
            <w:tcW w:w="1803" w:type="dxa"/>
          </w:tcPr>
          <w:p w:rsidR="009070A8" w:rsidRDefault="009070A8" w:rsidP="009070A8">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2.6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9070A8" w:rsidRDefault="009070A8" w:rsidP="009070A8">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1.8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9070A8" w:rsidRDefault="009070A8" w:rsidP="009070A8">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1.9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2053" w:type="dxa"/>
          </w:tcPr>
          <w:p w:rsidR="009070A8" w:rsidRDefault="009070A8" w:rsidP="009070A8">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2.2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r>
      <w:tr w:rsidR="00B568C3" w:rsidTr="006E1D82">
        <w:tc>
          <w:tcPr>
            <w:tcW w:w="1803" w:type="dxa"/>
          </w:tcPr>
          <w:p w:rsidR="00B568C3" w:rsidRDefault="00B568C3" w:rsidP="00B568C3">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Sr. AO to JTS</w:t>
            </w:r>
            <w:r w:rsidR="00C550E1">
              <w:rPr>
                <w:rFonts w:ascii="Bookman Old Style" w:eastAsia="Times New Roman" w:hAnsi="Bookman Old Style" w:cs="Times New Roman"/>
                <w:lang w:eastAsia="en-IN"/>
              </w:rPr>
              <w:t>/ Non-IAAS Promotional Posts to Sr. AO</w:t>
            </w:r>
          </w:p>
        </w:tc>
        <w:tc>
          <w:tcPr>
            <w:tcW w:w="1803" w:type="dxa"/>
          </w:tcPr>
          <w:p w:rsidR="00B568C3" w:rsidRDefault="00F46E18"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11</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1803" w:type="dxa"/>
          </w:tcPr>
          <w:p w:rsidR="00B568C3" w:rsidRDefault="00F46E18"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25</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1803" w:type="dxa"/>
          </w:tcPr>
          <w:p w:rsidR="00B568C3" w:rsidRDefault="006F2E71"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2</w:t>
            </w:r>
            <w:r w:rsidR="007976B8">
              <w:rPr>
                <w:rFonts w:ascii="Bookman Old Style" w:eastAsia="Times New Roman" w:hAnsi="Bookman Old Style" w:cs="Times New Roman"/>
                <w:b/>
                <w:lang w:eastAsia="en-IN"/>
              </w:rPr>
              <w:t>9</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2053" w:type="dxa"/>
          </w:tcPr>
          <w:p w:rsidR="00B568C3" w:rsidRDefault="00A331A4"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23</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r>
      <w:tr w:rsidR="00B568C3" w:rsidTr="006E1D82">
        <w:tc>
          <w:tcPr>
            <w:tcW w:w="1803" w:type="dxa"/>
          </w:tcPr>
          <w:p w:rsidR="00B568C3" w:rsidRDefault="00B568C3" w:rsidP="00743F90">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AAO</w:t>
            </w:r>
            <w:r w:rsidR="007871F2">
              <w:rPr>
                <w:rFonts w:ascii="Bookman Old Style" w:eastAsia="Times New Roman" w:hAnsi="Bookman Old Style" w:cs="Times New Roman"/>
                <w:lang w:eastAsia="en-IN"/>
              </w:rPr>
              <w:t>+Sr</w:t>
            </w:r>
            <w:proofErr w:type="spellEnd"/>
            <w:r w:rsidR="007871F2">
              <w:rPr>
                <w:rFonts w:ascii="Bookman Old Style" w:eastAsia="Times New Roman" w:hAnsi="Bookman Old Style" w:cs="Times New Roman"/>
                <w:lang w:eastAsia="en-IN"/>
              </w:rPr>
              <w:t>. AO</w:t>
            </w:r>
            <w:r>
              <w:rPr>
                <w:rFonts w:ascii="Bookman Old Style" w:eastAsia="Times New Roman" w:hAnsi="Bookman Old Style" w:cs="Times New Roman"/>
                <w:lang w:eastAsia="en-IN"/>
              </w:rPr>
              <w:t xml:space="preserve"> to JTS</w:t>
            </w:r>
            <w:r w:rsidR="00C550E1">
              <w:rPr>
                <w:rFonts w:ascii="Bookman Old Style" w:eastAsia="Times New Roman" w:hAnsi="Bookman Old Style" w:cs="Times New Roman"/>
                <w:lang w:eastAsia="en-IN"/>
              </w:rPr>
              <w:t>/ Non-IAAS Promotional Posts to Sr. AO</w:t>
            </w:r>
          </w:p>
        </w:tc>
        <w:tc>
          <w:tcPr>
            <w:tcW w:w="1803" w:type="dxa"/>
          </w:tcPr>
          <w:p w:rsidR="00B568C3" w:rsidRDefault="006F2E71"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38</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1803" w:type="dxa"/>
          </w:tcPr>
          <w:p w:rsidR="00B568C3" w:rsidRDefault="006F2E71"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70</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1803" w:type="dxa"/>
          </w:tcPr>
          <w:p w:rsidR="00B568C3" w:rsidRDefault="006F2E71"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83</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c>
          <w:tcPr>
            <w:tcW w:w="2053" w:type="dxa"/>
          </w:tcPr>
          <w:p w:rsidR="00B568C3" w:rsidRDefault="00CB1A3C" w:rsidP="00B568C3">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74</w:t>
            </w:r>
            <w:r w:rsidR="00B568C3">
              <w:rPr>
                <w:rFonts w:ascii="Bookman Old Style" w:eastAsia="Times New Roman" w:hAnsi="Bookman Old Style" w:cs="Times New Roman"/>
                <w:b/>
                <w:lang w:eastAsia="en-IN"/>
              </w:rPr>
              <w:t xml:space="preserve"> </w:t>
            </w:r>
            <w:r w:rsidR="00B568C3" w:rsidRPr="00B568C3">
              <w:rPr>
                <w:rFonts w:ascii="Bookman Old Style" w:eastAsia="Times New Roman" w:hAnsi="Bookman Old Style" w:cs="Times New Roman"/>
                <w:sz w:val="26"/>
                <w:lang w:eastAsia="en-IN"/>
              </w:rPr>
              <w:t>:</w:t>
            </w:r>
            <w:r w:rsidR="00B568C3">
              <w:rPr>
                <w:rFonts w:ascii="Bookman Old Style" w:eastAsia="Times New Roman" w:hAnsi="Bookman Old Style" w:cs="Times New Roman"/>
                <w:lang w:eastAsia="en-IN"/>
              </w:rPr>
              <w:t xml:space="preserve"> 1</w:t>
            </w:r>
          </w:p>
        </w:tc>
      </w:tr>
    </w:tbl>
    <w:p w:rsidR="009E72B5" w:rsidRDefault="009E72B5" w:rsidP="000902B6">
      <w:pPr>
        <w:spacing w:after="0" w:line="240" w:lineRule="auto"/>
        <w:ind w:firstLine="720"/>
        <w:jc w:val="both"/>
        <w:rPr>
          <w:rFonts w:ascii="Bookman Old Style" w:eastAsia="Times New Roman" w:hAnsi="Bookman Old Style" w:cs="Times New Roman"/>
          <w:lang w:eastAsia="en-IN"/>
        </w:rPr>
      </w:pPr>
    </w:p>
    <w:p w:rsidR="0065238B" w:rsidRDefault="000348F0" w:rsidP="00BB3069">
      <w:pPr>
        <w:spacing w:after="0"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r>
      <w:r w:rsidR="000D7391">
        <w:rPr>
          <w:rFonts w:ascii="Bookman Old Style" w:eastAsia="Times New Roman" w:hAnsi="Bookman Old Style" w:cs="Times New Roman"/>
          <w:lang w:eastAsia="en-IN"/>
        </w:rPr>
        <w:t>G</w:t>
      </w:r>
      <w:r w:rsidR="00DF3E1D">
        <w:rPr>
          <w:rFonts w:ascii="Bookman Old Style" w:eastAsia="Times New Roman" w:hAnsi="Bookman Old Style" w:cs="Times New Roman"/>
          <w:lang w:eastAsia="en-IN"/>
        </w:rPr>
        <w:t xml:space="preserve">iven </w:t>
      </w:r>
      <w:r w:rsidR="000D7391">
        <w:rPr>
          <w:rFonts w:ascii="Bookman Old Style" w:eastAsia="Times New Roman" w:hAnsi="Bookman Old Style" w:cs="Times New Roman"/>
          <w:lang w:eastAsia="en-IN"/>
        </w:rPr>
        <w:t xml:space="preserve">the </w:t>
      </w:r>
      <w:r w:rsidR="00DF3E1D">
        <w:rPr>
          <w:rFonts w:ascii="Bookman Old Style" w:eastAsia="Times New Roman" w:hAnsi="Bookman Old Style" w:cs="Times New Roman"/>
          <w:lang w:eastAsia="en-IN"/>
        </w:rPr>
        <w:t xml:space="preserve">severe </w:t>
      </w:r>
      <w:r w:rsidR="002D70E2">
        <w:rPr>
          <w:rFonts w:ascii="Bookman Old Style" w:eastAsia="Times New Roman" w:hAnsi="Bookman Old Style" w:cs="Times New Roman"/>
          <w:lang w:eastAsia="en-IN"/>
        </w:rPr>
        <w:t xml:space="preserve">stagnation at AAO Cadre, it is evident that reaching any pay level beyond Level 10 </w:t>
      </w:r>
      <w:r w:rsidR="00375110">
        <w:rPr>
          <w:rFonts w:ascii="Bookman Old Style" w:eastAsia="Times New Roman" w:hAnsi="Bookman Old Style" w:cs="Times New Roman"/>
          <w:lang w:eastAsia="en-IN"/>
        </w:rPr>
        <w:t xml:space="preserve">by AAOs </w:t>
      </w:r>
      <w:r w:rsidR="003C2539">
        <w:rPr>
          <w:rFonts w:ascii="Bookman Old Style" w:eastAsia="Times New Roman" w:hAnsi="Bookman Old Style" w:cs="Times New Roman"/>
          <w:lang w:eastAsia="en-IN"/>
        </w:rPr>
        <w:t>has become nearly</w:t>
      </w:r>
      <w:r w:rsidR="002D70E2">
        <w:rPr>
          <w:rFonts w:ascii="Bookman Old Style" w:eastAsia="Times New Roman" w:hAnsi="Bookman Old Style" w:cs="Times New Roman"/>
          <w:lang w:eastAsia="en-IN"/>
        </w:rPr>
        <w:t xml:space="preserve"> impossible </w:t>
      </w:r>
      <w:r w:rsidR="003C2539">
        <w:rPr>
          <w:rFonts w:ascii="Bookman Old Style" w:eastAsia="Times New Roman" w:hAnsi="Bookman Old Style" w:cs="Times New Roman"/>
          <w:lang w:eastAsia="en-IN"/>
        </w:rPr>
        <w:t>to most officers during their entire service</w:t>
      </w:r>
      <w:r w:rsidR="002D70E2">
        <w:rPr>
          <w:rFonts w:ascii="Bookman Old Style" w:eastAsia="Times New Roman" w:hAnsi="Bookman Old Style" w:cs="Times New Roman"/>
          <w:lang w:eastAsia="en-IN"/>
        </w:rPr>
        <w:t>.</w:t>
      </w:r>
      <w:r w:rsidR="0000105F">
        <w:rPr>
          <w:rFonts w:ascii="Bookman Old Style" w:eastAsia="Times New Roman" w:hAnsi="Bookman Old Style" w:cs="Times New Roman"/>
          <w:lang w:eastAsia="en-IN"/>
        </w:rPr>
        <w:t xml:space="preserve"> As per </w:t>
      </w:r>
      <w:r w:rsidR="00743A5C">
        <w:rPr>
          <w:rFonts w:ascii="Bookman Old Style" w:eastAsia="Times New Roman" w:hAnsi="Bookman Old Style" w:cs="Times New Roman"/>
          <w:lang w:eastAsia="en-IN"/>
        </w:rPr>
        <w:t>accepted 6</w:t>
      </w:r>
      <w:r w:rsidR="00743A5C" w:rsidRPr="00743A5C">
        <w:rPr>
          <w:rFonts w:ascii="Bookman Old Style" w:eastAsia="Times New Roman" w:hAnsi="Bookman Old Style" w:cs="Times New Roman"/>
          <w:vertAlign w:val="superscript"/>
          <w:lang w:eastAsia="en-IN"/>
        </w:rPr>
        <w:t>th</w:t>
      </w:r>
      <w:r w:rsidR="00743A5C">
        <w:rPr>
          <w:rFonts w:ascii="Bookman Old Style" w:eastAsia="Times New Roman" w:hAnsi="Bookman Old Style" w:cs="Times New Roman"/>
          <w:lang w:eastAsia="en-IN"/>
        </w:rPr>
        <w:t xml:space="preserve"> CPC </w:t>
      </w:r>
      <w:r w:rsidR="001B2B64">
        <w:rPr>
          <w:rFonts w:ascii="Bookman Old Style" w:eastAsia="Times New Roman" w:hAnsi="Bookman Old Style" w:cs="Times New Roman"/>
          <w:lang w:eastAsia="en-IN"/>
        </w:rPr>
        <w:t xml:space="preserve">resolution no. x(b) </w:t>
      </w:r>
      <w:proofErr w:type="spellStart"/>
      <w:r w:rsidR="001B2B64">
        <w:rPr>
          <w:rFonts w:ascii="Bookman Old Style" w:eastAsia="Times New Roman" w:hAnsi="Bookman Old Style" w:cs="Times New Roman"/>
          <w:lang w:eastAsia="en-IN"/>
        </w:rPr>
        <w:t>publish</w:t>
      </w:r>
      <w:r w:rsidR="009535E5">
        <w:rPr>
          <w:rFonts w:ascii="Bookman Old Style" w:eastAsia="Times New Roman" w:hAnsi="Bookman Old Style" w:cs="Times New Roman"/>
          <w:lang w:eastAsia="en-IN"/>
        </w:rPr>
        <w:t>no</w:t>
      </w:r>
      <w:r w:rsidR="001B2B64">
        <w:rPr>
          <w:rFonts w:ascii="Bookman Old Style" w:eastAsia="Times New Roman" w:hAnsi="Bookman Old Style" w:cs="Times New Roman"/>
          <w:lang w:eastAsia="en-IN"/>
        </w:rPr>
        <w:t>ed</w:t>
      </w:r>
      <w:proofErr w:type="spellEnd"/>
      <w:r w:rsidR="00BC3B65">
        <w:rPr>
          <w:rFonts w:ascii="Bookman Old Style" w:eastAsia="Times New Roman" w:hAnsi="Bookman Old Style" w:cs="Times New Roman"/>
          <w:lang w:eastAsia="en-IN"/>
        </w:rPr>
        <w:t xml:space="preserve"> in official Gazette</w:t>
      </w:r>
      <w:r w:rsidR="001B2B64">
        <w:rPr>
          <w:rFonts w:ascii="Bookman Old Style" w:eastAsia="Times New Roman" w:hAnsi="Bookman Old Style" w:cs="Times New Roman"/>
          <w:lang w:eastAsia="en-IN"/>
        </w:rPr>
        <w:t xml:space="preserve"> vide </w:t>
      </w:r>
      <w:r w:rsidR="00BC3B65">
        <w:rPr>
          <w:rFonts w:ascii="Bookman Old Style" w:eastAsia="Times New Roman" w:hAnsi="Bookman Old Style" w:cs="Times New Roman"/>
          <w:lang w:eastAsia="en-IN"/>
        </w:rPr>
        <w:t>No. 1/1/2008/I C dated 29.08.2008, Section Officers at GP 4800</w:t>
      </w:r>
      <w:r w:rsidR="00910B87">
        <w:rPr>
          <w:rFonts w:ascii="Bookman Old Style" w:eastAsia="Times New Roman" w:hAnsi="Bookman Old Style" w:cs="Times New Roman"/>
          <w:lang w:eastAsia="en-IN"/>
        </w:rPr>
        <w:t>/Level 8</w:t>
      </w:r>
      <w:r w:rsidR="00BC3B65">
        <w:rPr>
          <w:rFonts w:ascii="Bookman Old Style" w:eastAsia="Times New Roman" w:hAnsi="Bookman Old Style" w:cs="Times New Roman"/>
          <w:lang w:eastAsia="en-IN"/>
        </w:rPr>
        <w:t xml:space="preserve"> in PB 2 </w:t>
      </w:r>
      <w:r w:rsidR="00910B87">
        <w:rPr>
          <w:rFonts w:ascii="Bookman Old Style" w:eastAsia="Times New Roman" w:hAnsi="Bookman Old Style" w:cs="Times New Roman"/>
          <w:lang w:eastAsia="en-IN"/>
        </w:rPr>
        <w:t xml:space="preserve">were granted GP of 5400 in PB 3 i.e. Level 10 after 4 years. </w:t>
      </w:r>
      <w:r w:rsidR="00910B87" w:rsidRPr="00380543">
        <w:rPr>
          <w:rFonts w:ascii="Bookman Old Style" w:eastAsia="Times New Roman" w:hAnsi="Bookman Old Style" w:cs="Times New Roman"/>
          <w:b/>
          <w:lang w:eastAsia="en-IN"/>
        </w:rPr>
        <w:t xml:space="preserve">Hence, AAO Pay level should be upgraded to Level 9 and First NFU at Level 10 should be given after 4 years. </w:t>
      </w:r>
      <w:r w:rsidR="0065238B" w:rsidRPr="00380543">
        <w:rPr>
          <w:rFonts w:ascii="Bookman Old Style" w:eastAsia="Times New Roman" w:hAnsi="Bookman Old Style" w:cs="Times New Roman"/>
          <w:b/>
          <w:lang w:eastAsia="en-IN"/>
        </w:rPr>
        <w:t>Thereafter, two more NFU may be granted after every 6 years</w:t>
      </w:r>
      <w:r w:rsidR="00500068" w:rsidRPr="00380543">
        <w:rPr>
          <w:rFonts w:ascii="Bookman Old Style" w:eastAsia="Times New Roman" w:hAnsi="Bookman Old Style" w:cs="Times New Roman"/>
          <w:b/>
          <w:lang w:eastAsia="en-IN"/>
        </w:rPr>
        <w:t xml:space="preserve"> </w:t>
      </w:r>
      <w:proofErr w:type="spellStart"/>
      <w:r w:rsidR="00500068" w:rsidRPr="00380543">
        <w:rPr>
          <w:rFonts w:ascii="Bookman Old Style" w:eastAsia="Times New Roman" w:hAnsi="Bookman Old Style" w:cs="Times New Roman"/>
          <w:b/>
          <w:lang w:eastAsia="en-IN"/>
        </w:rPr>
        <w:t>upto</w:t>
      </w:r>
      <w:proofErr w:type="spellEnd"/>
      <w:r w:rsidR="00500068" w:rsidRPr="00380543">
        <w:rPr>
          <w:rFonts w:ascii="Bookman Old Style" w:eastAsia="Times New Roman" w:hAnsi="Bookman Old Style" w:cs="Times New Roman"/>
          <w:b/>
          <w:lang w:eastAsia="en-IN"/>
        </w:rPr>
        <w:t xml:space="preserve"> Level 12</w:t>
      </w:r>
      <w:r w:rsidR="0065238B" w:rsidRPr="00380543">
        <w:rPr>
          <w:rFonts w:ascii="Bookman Old Style" w:eastAsia="Times New Roman" w:hAnsi="Bookman Old Style" w:cs="Times New Roman"/>
          <w:b/>
          <w:lang w:eastAsia="en-IN"/>
        </w:rPr>
        <w:t>.</w:t>
      </w:r>
    </w:p>
    <w:p w:rsidR="00E729E9" w:rsidRDefault="003E1195" w:rsidP="00E729E9">
      <w:pPr>
        <w:spacing w:after="0" w:line="240" w:lineRule="auto"/>
        <w:ind w:firstLine="720"/>
        <w:jc w:val="both"/>
        <w:rPr>
          <w:rFonts w:ascii="Bookman Old Style" w:eastAsia="Times New Roman" w:hAnsi="Bookman Old Style" w:cs="Times New Roman"/>
          <w:b/>
          <w:lang w:eastAsia="en-IN"/>
        </w:rPr>
      </w:pPr>
      <w:r>
        <w:rPr>
          <w:rFonts w:ascii="Bookman Old Style" w:eastAsia="Times New Roman" w:hAnsi="Bookman Old Style" w:cs="Times New Roman"/>
          <w:lang w:eastAsia="en-IN"/>
        </w:rPr>
        <w:t xml:space="preserve">Further, even though Sr. AOs are granted Group A status, they are not treated at par </w:t>
      </w:r>
      <w:r w:rsidR="008E79D7">
        <w:rPr>
          <w:rFonts w:ascii="Bookman Old Style" w:eastAsia="Times New Roman" w:hAnsi="Bookman Old Style" w:cs="Times New Roman"/>
          <w:lang w:eastAsia="en-IN"/>
        </w:rPr>
        <w:t>with</w:t>
      </w:r>
      <w:r>
        <w:rPr>
          <w:rFonts w:ascii="Bookman Old Style" w:eastAsia="Times New Roman" w:hAnsi="Bookman Old Style" w:cs="Times New Roman"/>
          <w:lang w:eastAsia="en-IN"/>
        </w:rPr>
        <w:t xml:space="preserve"> </w:t>
      </w:r>
      <w:r w:rsidR="00C4752F">
        <w:rPr>
          <w:rFonts w:ascii="Bookman Old Style" w:eastAsia="Times New Roman" w:hAnsi="Bookman Old Style" w:cs="Times New Roman"/>
          <w:lang w:eastAsia="en-IN"/>
        </w:rPr>
        <w:t>Organized</w:t>
      </w:r>
      <w:r>
        <w:rPr>
          <w:rFonts w:ascii="Bookman Old Style" w:eastAsia="Times New Roman" w:hAnsi="Bookman Old Style" w:cs="Times New Roman"/>
          <w:lang w:eastAsia="en-IN"/>
        </w:rPr>
        <w:t xml:space="preserve"> Group </w:t>
      </w:r>
      <w:r w:rsidR="00C4752F">
        <w:rPr>
          <w:rFonts w:ascii="Bookman Old Style" w:eastAsia="Times New Roman" w:hAnsi="Bookman Old Style" w:cs="Times New Roman"/>
          <w:lang w:eastAsia="en-IN"/>
        </w:rPr>
        <w:t>A Service Officers who are getting time-bound NFU irrespective of their promotions</w:t>
      </w:r>
      <w:r w:rsidR="0076428C">
        <w:rPr>
          <w:rFonts w:ascii="Bookman Old Style" w:eastAsia="Times New Roman" w:hAnsi="Bookman Old Style" w:cs="Times New Roman"/>
          <w:lang w:eastAsia="en-IN"/>
        </w:rPr>
        <w:t xml:space="preserve"> when their junior get promoted</w:t>
      </w:r>
      <w:r w:rsidR="00C4752F">
        <w:rPr>
          <w:rFonts w:ascii="Bookman Old Style" w:eastAsia="Times New Roman" w:hAnsi="Bookman Old Style" w:cs="Times New Roman"/>
          <w:lang w:eastAsia="en-IN"/>
        </w:rPr>
        <w:t xml:space="preserve"> as per DOPT OM </w:t>
      </w:r>
      <w:r w:rsidR="0076428C">
        <w:rPr>
          <w:rFonts w:ascii="Bookman Old Style" w:eastAsia="Times New Roman" w:hAnsi="Bookman Old Style" w:cs="Times New Roman"/>
          <w:lang w:eastAsia="en-IN"/>
        </w:rPr>
        <w:t>no. AB.14017/64/2008-</w:t>
      </w:r>
      <w:proofErr w:type="gramStart"/>
      <w:r w:rsidR="0076428C">
        <w:rPr>
          <w:rFonts w:ascii="Bookman Old Style" w:eastAsia="Times New Roman" w:hAnsi="Bookman Old Style" w:cs="Times New Roman"/>
          <w:lang w:eastAsia="en-IN"/>
        </w:rPr>
        <w:t>Estt.(</w:t>
      </w:r>
      <w:proofErr w:type="gramEnd"/>
      <w:r w:rsidR="0076428C">
        <w:rPr>
          <w:rFonts w:ascii="Bookman Old Style" w:eastAsia="Times New Roman" w:hAnsi="Bookman Old Style" w:cs="Times New Roman"/>
          <w:lang w:eastAsia="en-IN"/>
        </w:rPr>
        <w:t xml:space="preserve">RR) dated </w:t>
      </w:r>
      <w:r w:rsidR="00E53120">
        <w:rPr>
          <w:rFonts w:ascii="Bookman Old Style" w:eastAsia="Times New Roman" w:hAnsi="Bookman Old Style" w:cs="Times New Roman"/>
          <w:lang w:eastAsia="en-IN"/>
        </w:rPr>
        <w:t>24.04.2009.</w:t>
      </w:r>
      <w:r w:rsidR="00C4752F">
        <w:rPr>
          <w:rFonts w:ascii="Bookman Old Style" w:eastAsia="Times New Roman" w:hAnsi="Bookman Old Style" w:cs="Times New Roman"/>
          <w:lang w:eastAsia="en-IN"/>
        </w:rPr>
        <w:t xml:space="preserve"> </w:t>
      </w:r>
      <w:r w:rsidR="00375110">
        <w:rPr>
          <w:rFonts w:ascii="Bookman Old Style" w:eastAsia="Times New Roman" w:hAnsi="Bookman Old Style" w:cs="Times New Roman"/>
          <w:lang w:eastAsia="en-IN"/>
        </w:rPr>
        <w:t xml:space="preserve"> This is huge injustice to the Organized Accounts </w:t>
      </w:r>
      <w:r w:rsidR="00A32376">
        <w:rPr>
          <w:rFonts w:ascii="Bookman Old Style" w:eastAsia="Times New Roman" w:hAnsi="Bookman Old Style" w:cs="Times New Roman"/>
          <w:lang w:eastAsia="en-IN"/>
        </w:rPr>
        <w:t>C</w:t>
      </w:r>
      <w:r w:rsidR="00375110">
        <w:rPr>
          <w:rFonts w:ascii="Bookman Old Style" w:eastAsia="Times New Roman" w:hAnsi="Bookman Old Style" w:cs="Times New Roman"/>
          <w:lang w:eastAsia="en-IN"/>
        </w:rPr>
        <w:t xml:space="preserve">adre. </w:t>
      </w:r>
      <w:r w:rsidR="00375110" w:rsidRPr="00380543">
        <w:rPr>
          <w:rFonts w:ascii="Bookman Old Style" w:eastAsia="Times New Roman" w:hAnsi="Bookman Old Style" w:cs="Times New Roman"/>
          <w:b/>
          <w:lang w:eastAsia="en-IN"/>
        </w:rPr>
        <w:t>As such</w:t>
      </w:r>
      <w:r w:rsidR="004C2FCF" w:rsidRPr="00380543">
        <w:rPr>
          <w:rFonts w:ascii="Bookman Old Style" w:eastAsia="Times New Roman" w:hAnsi="Bookman Old Style" w:cs="Times New Roman"/>
          <w:b/>
          <w:lang w:eastAsia="en-IN"/>
        </w:rPr>
        <w:t xml:space="preserve">, </w:t>
      </w:r>
      <w:r w:rsidR="00BB3069" w:rsidRPr="00380543">
        <w:rPr>
          <w:rFonts w:ascii="Bookman Old Style" w:eastAsia="Times New Roman" w:hAnsi="Bookman Old Style" w:cs="Times New Roman"/>
          <w:b/>
          <w:lang w:eastAsia="en-IN"/>
        </w:rPr>
        <w:t>Sr. AOs</w:t>
      </w:r>
      <w:r w:rsidR="00EF1CC4" w:rsidRPr="00380543">
        <w:rPr>
          <w:rFonts w:ascii="Bookman Old Style" w:eastAsia="Times New Roman" w:hAnsi="Bookman Old Style" w:cs="Times New Roman"/>
          <w:b/>
          <w:lang w:eastAsia="en-IN"/>
        </w:rPr>
        <w:t xml:space="preserve"> (</w:t>
      </w:r>
      <w:r w:rsidR="000C58C0" w:rsidRPr="00380543">
        <w:rPr>
          <w:rFonts w:ascii="Bookman Old Style" w:eastAsia="Times New Roman" w:hAnsi="Bookman Old Style" w:cs="Times New Roman"/>
          <w:b/>
          <w:lang w:eastAsia="en-IN"/>
        </w:rPr>
        <w:t>Group A</w:t>
      </w:r>
      <w:r w:rsidR="00EF1CC4" w:rsidRPr="00380543">
        <w:rPr>
          <w:rFonts w:ascii="Bookman Old Style" w:eastAsia="Times New Roman" w:hAnsi="Bookman Old Style" w:cs="Times New Roman"/>
          <w:b/>
          <w:lang w:eastAsia="en-IN"/>
        </w:rPr>
        <w:t>)</w:t>
      </w:r>
      <w:r w:rsidR="00BB3069" w:rsidRPr="00380543">
        <w:rPr>
          <w:rFonts w:ascii="Bookman Old Style" w:eastAsia="Times New Roman" w:hAnsi="Bookman Old Style" w:cs="Times New Roman"/>
          <w:b/>
          <w:lang w:eastAsia="en-IN"/>
        </w:rPr>
        <w:t xml:space="preserve"> </w:t>
      </w:r>
      <w:r w:rsidR="00500068" w:rsidRPr="00380543">
        <w:rPr>
          <w:rFonts w:ascii="Bookman Old Style" w:eastAsia="Times New Roman" w:hAnsi="Bookman Old Style" w:cs="Times New Roman"/>
          <w:b/>
          <w:lang w:eastAsia="en-IN"/>
        </w:rPr>
        <w:t xml:space="preserve">should be </w:t>
      </w:r>
      <w:r w:rsidR="000C58C0" w:rsidRPr="00380543">
        <w:rPr>
          <w:rFonts w:ascii="Bookman Old Style" w:eastAsia="Times New Roman" w:hAnsi="Bookman Old Style" w:cs="Times New Roman"/>
          <w:b/>
          <w:lang w:eastAsia="en-IN"/>
        </w:rPr>
        <w:t>grant</w:t>
      </w:r>
      <w:r w:rsidR="00500068" w:rsidRPr="00380543">
        <w:rPr>
          <w:rFonts w:ascii="Bookman Old Style" w:eastAsia="Times New Roman" w:hAnsi="Bookman Old Style" w:cs="Times New Roman"/>
          <w:b/>
          <w:lang w:eastAsia="en-IN"/>
        </w:rPr>
        <w:t>ed</w:t>
      </w:r>
      <w:r w:rsidR="000C58C0" w:rsidRPr="00380543">
        <w:rPr>
          <w:rFonts w:ascii="Bookman Old Style" w:eastAsia="Times New Roman" w:hAnsi="Bookman Old Style" w:cs="Times New Roman"/>
          <w:b/>
          <w:lang w:eastAsia="en-IN"/>
        </w:rPr>
        <w:t xml:space="preserve"> minimum 3 financial upgradations through NFU </w:t>
      </w:r>
      <w:proofErr w:type="spellStart"/>
      <w:r w:rsidR="000C58C0" w:rsidRPr="00380543">
        <w:rPr>
          <w:rFonts w:ascii="Bookman Old Style" w:eastAsia="Times New Roman" w:hAnsi="Bookman Old Style" w:cs="Times New Roman"/>
          <w:b/>
          <w:lang w:eastAsia="en-IN"/>
        </w:rPr>
        <w:t>upto</w:t>
      </w:r>
      <w:proofErr w:type="spellEnd"/>
      <w:r w:rsidR="000C58C0" w:rsidRPr="00380543">
        <w:rPr>
          <w:rFonts w:ascii="Bookman Old Style" w:eastAsia="Times New Roman" w:hAnsi="Bookman Old Style" w:cs="Times New Roman"/>
          <w:b/>
          <w:lang w:eastAsia="en-IN"/>
        </w:rPr>
        <w:t xml:space="preserve"> Level 13 at every 6 years, since Sr. AOs even after grant of Group A status are not granted Time</w:t>
      </w:r>
      <w:r w:rsidR="0074343D" w:rsidRPr="00380543">
        <w:rPr>
          <w:rFonts w:ascii="Bookman Old Style" w:eastAsia="Times New Roman" w:hAnsi="Bookman Old Style" w:cs="Times New Roman"/>
          <w:b/>
          <w:lang w:eastAsia="en-IN"/>
        </w:rPr>
        <w:t>-Bound NFU at par with Organized Group A services.</w:t>
      </w:r>
    </w:p>
    <w:p w:rsidR="00E729E9" w:rsidRDefault="00E729E9" w:rsidP="00E729E9">
      <w:pPr>
        <w:spacing w:after="0" w:line="240" w:lineRule="auto"/>
        <w:jc w:val="both"/>
        <w:rPr>
          <w:rFonts w:ascii="Bookman Old Style" w:eastAsia="Times New Roman" w:hAnsi="Bookman Old Style" w:cs="Times New Roman"/>
          <w:b/>
          <w:lang w:eastAsia="en-IN"/>
        </w:rPr>
      </w:pPr>
    </w:p>
    <w:p w:rsidR="001E1007" w:rsidRPr="00E729E9" w:rsidRDefault="00140C57" w:rsidP="00E729E9">
      <w:pPr>
        <w:spacing w:after="0" w:line="240" w:lineRule="auto"/>
        <w:jc w:val="both"/>
        <w:rPr>
          <w:rFonts w:ascii="Bookman Old Style" w:eastAsia="Times New Roman" w:hAnsi="Bookman Old Style" w:cs="Times New Roman"/>
          <w:b/>
          <w:lang w:eastAsia="en-IN"/>
        </w:rPr>
      </w:pPr>
      <w:r w:rsidRPr="001E1007">
        <w:rPr>
          <w:rFonts w:ascii="Bookman Old Style" w:hAnsi="Bookman Old Style"/>
          <w:b/>
        </w:rPr>
        <w:t>1.</w:t>
      </w:r>
      <w:r w:rsidR="00940473">
        <w:rPr>
          <w:rFonts w:ascii="Bookman Old Style" w:hAnsi="Bookman Old Style"/>
          <w:b/>
        </w:rPr>
        <w:t>4</w:t>
      </w:r>
      <w:r w:rsidRPr="001E1007">
        <w:rPr>
          <w:rFonts w:ascii="Bookman Old Style" w:hAnsi="Bookman Old Style"/>
          <w:b/>
        </w:rPr>
        <w:t xml:space="preserve"> </w:t>
      </w:r>
      <w:r w:rsidR="001E1007" w:rsidRPr="001E1007">
        <w:rPr>
          <w:rFonts w:ascii="Bookman Old Style" w:hAnsi="Bookman Old Style"/>
          <w:b/>
        </w:rPr>
        <w:t>SOLUTIONS REQUIRED FOR RULE 10 ANOMALY:</w:t>
      </w:r>
    </w:p>
    <w:p w:rsidR="001E1007" w:rsidRPr="001E1007" w:rsidRDefault="001E1007" w:rsidP="001E1007">
      <w:pPr>
        <w:pStyle w:val="NormalWeb"/>
        <w:spacing w:before="0" w:beforeAutospacing="0" w:after="0" w:afterAutospacing="0"/>
        <w:ind w:firstLine="720"/>
        <w:jc w:val="both"/>
        <w:rPr>
          <w:rFonts w:ascii="Bookman Old Style" w:hAnsi="Bookman Old Style"/>
          <w:sz w:val="22"/>
          <w:szCs w:val="22"/>
        </w:rPr>
      </w:pPr>
      <w:r w:rsidRPr="001E1007">
        <w:rPr>
          <w:rFonts w:ascii="Bookman Old Style" w:hAnsi="Bookman Old Style"/>
          <w:sz w:val="22"/>
          <w:szCs w:val="22"/>
        </w:rPr>
        <w:t xml:space="preserve">The fundamental principle of Central Government service is that a senior employee must not draw less basic pay than a junior within the same cadre. However, the rigid application of Rule 10 of the CCS (Revised Pay) Rules, 2016, regarding the Date of Next Increment (DNI) has created severe pay inversions. This anomaly is driven by the six-month qualifying service condition, which can delay a promoted officer's first increment </w:t>
      </w:r>
      <w:r w:rsidR="00F422DC">
        <w:rPr>
          <w:rFonts w:ascii="Bookman Old Style" w:hAnsi="Bookman Old Style"/>
          <w:sz w:val="22"/>
          <w:szCs w:val="22"/>
        </w:rPr>
        <w:t>beyond 12 months</w:t>
      </w:r>
      <w:r w:rsidRPr="001E1007">
        <w:rPr>
          <w:rFonts w:ascii="Bookman Old Style" w:hAnsi="Bookman Old Style"/>
          <w:sz w:val="22"/>
          <w:szCs w:val="22"/>
        </w:rPr>
        <w:t>. Such delays occur most frequently when an officer is promoted after MACP without a pay fixation option, allowing juniors in different increment cycles to overtake them.</w:t>
      </w:r>
    </w:p>
    <w:p w:rsidR="00921078" w:rsidRPr="00506F43" w:rsidRDefault="001E1007" w:rsidP="00921078">
      <w:pPr>
        <w:spacing w:after="0" w:line="240" w:lineRule="auto"/>
        <w:ind w:firstLine="720"/>
        <w:jc w:val="both"/>
        <w:rPr>
          <w:rFonts w:ascii="Bookman Old Style" w:eastAsia="Times New Roman" w:hAnsi="Bookman Old Style" w:cs="Times New Roman"/>
          <w:lang w:eastAsia="en-IN"/>
        </w:rPr>
      </w:pPr>
      <w:r w:rsidRPr="001E1007">
        <w:rPr>
          <w:rFonts w:ascii="Bookman Old Style" w:eastAsia="Times New Roman" w:hAnsi="Bookman Old Style" w:cs="Times New Roman"/>
          <w:lang w:eastAsia="en-IN"/>
        </w:rPr>
        <w:t>Detailed evidence of this career-long financial injury is documented in the attached Annexure I and II</w:t>
      </w:r>
      <w:r w:rsidR="00FE38BC">
        <w:rPr>
          <w:rFonts w:ascii="Bookman Old Style" w:eastAsia="Times New Roman" w:hAnsi="Bookman Old Style" w:cs="Times New Roman"/>
          <w:lang w:eastAsia="en-IN"/>
        </w:rPr>
        <w:t xml:space="preserve"> and DOP Clarification issued vide OM No. 1-8/2023</w:t>
      </w:r>
      <w:r w:rsidR="005A28CD">
        <w:rPr>
          <w:rFonts w:ascii="Bookman Old Style" w:eastAsia="Times New Roman" w:hAnsi="Bookman Old Style" w:cs="Times New Roman"/>
          <w:lang w:eastAsia="en-IN"/>
        </w:rPr>
        <w:t>-PCC dated 07.11.2024</w:t>
      </w:r>
      <w:r w:rsidRPr="001E1007">
        <w:rPr>
          <w:rFonts w:ascii="Bookman Old Style" w:eastAsia="Times New Roman" w:hAnsi="Bookman Old Style" w:cs="Times New Roman"/>
          <w:lang w:eastAsia="en-IN"/>
        </w:rPr>
        <w:t xml:space="preserve">. To resolve this, </w:t>
      </w:r>
      <w:r w:rsidR="00814462">
        <w:rPr>
          <w:rFonts w:ascii="Bookman Old Style" w:eastAsia="Times New Roman" w:hAnsi="Bookman Old Style" w:cs="Times New Roman"/>
          <w:lang w:eastAsia="en-IN"/>
        </w:rPr>
        <w:t>8</w:t>
      </w:r>
      <w:r w:rsidR="00814462" w:rsidRPr="00814462">
        <w:rPr>
          <w:rFonts w:ascii="Bookman Old Style" w:eastAsia="Times New Roman" w:hAnsi="Bookman Old Style" w:cs="Times New Roman"/>
          <w:vertAlign w:val="superscript"/>
          <w:lang w:eastAsia="en-IN"/>
        </w:rPr>
        <w:t>th</w:t>
      </w:r>
      <w:r w:rsidR="00814462">
        <w:rPr>
          <w:rFonts w:ascii="Bookman Old Style" w:eastAsia="Times New Roman" w:hAnsi="Bookman Old Style" w:cs="Times New Roman"/>
          <w:lang w:eastAsia="en-IN"/>
        </w:rPr>
        <w:t xml:space="preserve"> CPC</w:t>
      </w:r>
      <w:r w:rsidRPr="001E1007">
        <w:rPr>
          <w:rFonts w:ascii="Bookman Old Style" w:eastAsia="Times New Roman" w:hAnsi="Bookman Old Style" w:cs="Times New Roman"/>
          <w:lang w:eastAsia="en-IN"/>
        </w:rPr>
        <w:t xml:space="preserve"> should recommend that the next increment in a promotional post be granted strictly on the first January or July </w:t>
      </w:r>
      <w:r w:rsidRPr="001E1007">
        <w:rPr>
          <w:rFonts w:ascii="Bookman Old Style" w:eastAsia="Times New Roman" w:hAnsi="Bookman Old Style" w:cs="Times New Roman"/>
          <w:lang w:eastAsia="en-IN"/>
        </w:rPr>
        <w:lastRenderedPageBreak/>
        <w:t>following si</w:t>
      </w:r>
      <w:r w:rsidR="00A44A69">
        <w:rPr>
          <w:rFonts w:ascii="Bookman Old Style" w:eastAsia="Times New Roman" w:hAnsi="Bookman Old Style" w:cs="Times New Roman"/>
          <w:lang w:eastAsia="en-IN"/>
        </w:rPr>
        <w:t>x months of service. Further</w:t>
      </w:r>
      <w:r w:rsidRPr="001E1007">
        <w:rPr>
          <w:rFonts w:ascii="Bookman Old Style" w:eastAsia="Times New Roman" w:hAnsi="Bookman Old Style" w:cs="Times New Roman"/>
          <w:lang w:eastAsia="en-IN"/>
        </w:rPr>
        <w:t xml:space="preserve">, where the six-month rule would cause a delay beyond the next immediate cycle, an "Advance Increment" should be authorized. This increment should be drawn on the 1st of January or 1st of July immediately following the promotion date without requiring the minimum service period. Such a mechanism would effectively eliminate stagnation </w:t>
      </w:r>
      <w:r w:rsidR="006665DA">
        <w:rPr>
          <w:rFonts w:ascii="Bookman Old Style" w:eastAsia="Times New Roman" w:hAnsi="Bookman Old Style" w:cs="Times New Roman"/>
          <w:lang w:eastAsia="en-IN"/>
        </w:rPr>
        <w:t>of increments beyond 12 months</w:t>
      </w:r>
      <w:r w:rsidRPr="001E1007">
        <w:rPr>
          <w:rFonts w:ascii="Bookman Old Style" w:eastAsia="Times New Roman" w:hAnsi="Bookman Old Style" w:cs="Times New Roman"/>
          <w:lang w:eastAsia="en-IN"/>
        </w:rPr>
        <w:t xml:space="preserve"> that triggers these inversions. Implementing this change ensures that pay remains commensurate with seniority and service length. This rationalization is </w:t>
      </w:r>
      <w:r w:rsidRPr="00506F43">
        <w:rPr>
          <w:rFonts w:ascii="Bookman Old Style" w:eastAsia="Times New Roman" w:hAnsi="Bookman Old Style" w:cs="Times New Roman"/>
          <w:lang w:eastAsia="en-IN"/>
        </w:rPr>
        <w:t>essential to restore administrative equity and employee morale</w:t>
      </w:r>
      <w:r w:rsidR="00921078" w:rsidRPr="00506F43">
        <w:rPr>
          <w:rFonts w:ascii="Bookman Old Style" w:eastAsia="Times New Roman" w:hAnsi="Bookman Old Style" w:cs="Times New Roman"/>
          <w:lang w:eastAsia="en-IN"/>
        </w:rPr>
        <w:t xml:space="preserve"> within the 8th CPC framework. </w:t>
      </w:r>
    </w:p>
    <w:p w:rsidR="00921078" w:rsidRPr="00506F43" w:rsidRDefault="00921078" w:rsidP="00921078">
      <w:pPr>
        <w:spacing w:after="0" w:line="240" w:lineRule="auto"/>
        <w:jc w:val="both"/>
        <w:rPr>
          <w:rFonts w:ascii="Bookman Old Style" w:eastAsia="Times New Roman" w:hAnsi="Bookman Old Style" w:cs="Times New Roman"/>
          <w:lang w:eastAsia="en-IN"/>
        </w:rPr>
      </w:pPr>
    </w:p>
    <w:p w:rsidR="00506F43" w:rsidRPr="00506F43" w:rsidRDefault="00506F43" w:rsidP="00921078">
      <w:pPr>
        <w:spacing w:after="0" w:line="240" w:lineRule="auto"/>
        <w:jc w:val="both"/>
        <w:rPr>
          <w:rFonts w:ascii="Bookman Old Style" w:eastAsia="Times New Roman" w:hAnsi="Bookman Old Style" w:cs="Times New Roman"/>
          <w:b/>
          <w:i/>
          <w:lang w:eastAsia="en-IN"/>
        </w:rPr>
      </w:pPr>
      <w:r w:rsidRPr="00506F43">
        <w:rPr>
          <w:rFonts w:ascii="Bookman Old Style" w:hAnsi="Bookman Old Style"/>
          <w:b/>
          <w:i/>
        </w:rPr>
        <w:t>Note: Detailed service particulars and evidence regarding the Rule 10 and MACP anomalies are structured in Annexure I, II, and III. Due to portal formatting constraints, these Annexures have been uploaded as a supplementary PDF attachment</w:t>
      </w:r>
    </w:p>
    <w:p w:rsidR="00506F43" w:rsidRPr="00506F43" w:rsidRDefault="00506F43" w:rsidP="00921078">
      <w:pPr>
        <w:spacing w:after="0" w:line="240" w:lineRule="auto"/>
        <w:jc w:val="both"/>
        <w:rPr>
          <w:rFonts w:ascii="Bookman Old Style" w:eastAsia="Times New Roman" w:hAnsi="Bookman Old Style" w:cs="Times New Roman"/>
          <w:lang w:eastAsia="en-IN"/>
        </w:rPr>
      </w:pPr>
    </w:p>
    <w:p w:rsidR="00DA5C52" w:rsidRPr="007D4864" w:rsidRDefault="00CB5531" w:rsidP="00921078">
      <w:pPr>
        <w:spacing w:after="0" w:line="240" w:lineRule="auto"/>
        <w:jc w:val="both"/>
        <w:rPr>
          <w:rFonts w:ascii="Bookman Old Style" w:eastAsia="Times New Roman" w:hAnsi="Bookman Old Style" w:cs="Times New Roman"/>
          <w:b/>
          <w:lang w:eastAsia="en-IN"/>
        </w:rPr>
      </w:pPr>
      <w:r w:rsidRPr="00506F43">
        <w:rPr>
          <w:rFonts w:ascii="Bookman Old Style" w:hAnsi="Bookman Old Style" w:cs="Arial"/>
          <w:b/>
          <w:color w:val="333333"/>
        </w:rPr>
        <w:t>1.5</w:t>
      </w:r>
      <w:r w:rsidR="00DA5C52" w:rsidRPr="00506F43">
        <w:rPr>
          <w:rFonts w:ascii="Bookman Old Style" w:hAnsi="Bookman Old Style" w:cs="Arial"/>
          <w:b/>
          <w:color w:val="333333"/>
        </w:rPr>
        <w:t xml:space="preserve"> SOLUTIONS REQUIRED FOR </w:t>
      </w:r>
      <w:r w:rsidR="00DA5C52" w:rsidRPr="00506F43">
        <w:rPr>
          <w:rFonts w:ascii="Bookman Old Style" w:hAnsi="Bookman Old Style"/>
          <w:b/>
        </w:rPr>
        <w:t>ANOMALY</w:t>
      </w:r>
      <w:r w:rsidR="00DA5C52" w:rsidRPr="007D4864">
        <w:rPr>
          <w:rFonts w:ascii="Bookman Old Style" w:hAnsi="Bookman Old Style"/>
          <w:b/>
        </w:rPr>
        <w:t xml:space="preserve"> ARISING OUT OF MACP AND PROMOTION PAY FIXATION PROVISIONS</w:t>
      </w:r>
      <w:r w:rsidR="007D4864" w:rsidRPr="007D4864">
        <w:rPr>
          <w:rFonts w:ascii="Bookman Old Style" w:hAnsi="Bookman Old Style"/>
          <w:b/>
        </w:rPr>
        <w:t>:</w:t>
      </w:r>
    </w:p>
    <w:p w:rsidR="00DA5C52" w:rsidRPr="00DA5C52" w:rsidRDefault="00DA5C52" w:rsidP="00B94C50">
      <w:pPr>
        <w:spacing w:after="0" w:line="240" w:lineRule="auto"/>
        <w:ind w:firstLine="720"/>
        <w:jc w:val="both"/>
        <w:rPr>
          <w:rFonts w:ascii="Bookman Old Style" w:eastAsia="Times New Roman" w:hAnsi="Bookman Old Style" w:cs="Times New Roman"/>
          <w:lang w:eastAsia="en-IN"/>
        </w:rPr>
      </w:pPr>
      <w:r w:rsidRPr="00DA5C52">
        <w:rPr>
          <w:rFonts w:ascii="Bookman Old Style" w:eastAsia="Times New Roman" w:hAnsi="Bookman Old Style" w:cs="Times New Roman"/>
          <w:lang w:eastAsia="en-IN"/>
        </w:rPr>
        <w:t>In the Posts and Telecommunications Accounts Organisation, promotion to the cadre of Assistant Accounts Officer (AAO) is made through a Limited Departmental Competitive Examination (LDCE) equivalent to the SAS Examination. However, the present MACP and pay fixation provisions have given rise to situations where a senior employee, despite longer service and higher merit, is placed at a financial disadvantage vis-à-vis a junior employee.</w:t>
      </w:r>
    </w:p>
    <w:p w:rsidR="00DA5C52" w:rsidRPr="00DA5C52" w:rsidRDefault="00DA5C52" w:rsidP="00A516E7">
      <w:pPr>
        <w:spacing w:after="0" w:line="240" w:lineRule="auto"/>
        <w:ind w:firstLine="720"/>
        <w:jc w:val="both"/>
        <w:rPr>
          <w:rFonts w:ascii="Bookman Old Style" w:eastAsia="Times New Roman" w:hAnsi="Bookman Old Style" w:cs="Times New Roman"/>
          <w:lang w:eastAsia="en-IN"/>
        </w:rPr>
      </w:pPr>
      <w:r w:rsidRPr="00DA5C52">
        <w:rPr>
          <w:rFonts w:ascii="Bookman Old Style" w:eastAsia="Times New Roman" w:hAnsi="Bookman Old Style" w:cs="Times New Roman"/>
          <w:lang w:eastAsia="en-IN"/>
        </w:rPr>
        <w:t>A representative case is furnished in Annexure-III. In the said case, Official 'X' entered service on 08.09.1998, whereas Official 'Y' entered service on 01.11.1999. Thus, Official 'X' had more than one year of additional service. Both officials qualified the LDCE-2018 for promotion to the AAO cadre and were promoted on 01.10.2018. Official 'X' secured Rank No.</w:t>
      </w:r>
      <w:r w:rsidR="00174457">
        <w:rPr>
          <w:rFonts w:ascii="Bookman Old Style" w:eastAsia="Times New Roman" w:hAnsi="Bookman Old Style" w:cs="Times New Roman"/>
          <w:lang w:eastAsia="en-IN"/>
        </w:rPr>
        <w:t>556</w:t>
      </w:r>
      <w:r w:rsidRPr="00DA5C52">
        <w:rPr>
          <w:rFonts w:ascii="Bookman Old Style" w:eastAsia="Times New Roman" w:hAnsi="Bookman Old Style" w:cs="Times New Roman"/>
          <w:lang w:eastAsia="en-IN"/>
        </w:rPr>
        <w:t xml:space="preserve"> in the examination, whereas Official 'Y' secured Rank No.</w:t>
      </w:r>
      <w:r w:rsidR="00174457">
        <w:rPr>
          <w:rFonts w:ascii="Bookman Old Style" w:eastAsia="Times New Roman" w:hAnsi="Bookman Old Style" w:cs="Times New Roman"/>
          <w:lang w:eastAsia="en-IN"/>
        </w:rPr>
        <w:t>697</w:t>
      </w:r>
      <w:r w:rsidRPr="00DA5C52">
        <w:rPr>
          <w:rFonts w:ascii="Bookman Old Style" w:eastAsia="Times New Roman" w:hAnsi="Bookman Old Style" w:cs="Times New Roman"/>
          <w:lang w:eastAsia="en-IN"/>
        </w:rPr>
        <w:t>, making Official 'X' senior to Official 'Y' both in the feeder cadre as well as in the AAO cadre.</w:t>
      </w:r>
      <w:r w:rsidR="00A516E7">
        <w:rPr>
          <w:rFonts w:ascii="Bookman Old Style" w:eastAsia="Times New Roman" w:hAnsi="Bookman Old Style" w:cs="Times New Roman"/>
          <w:lang w:eastAsia="en-IN"/>
        </w:rPr>
        <w:t xml:space="preserve"> </w:t>
      </w:r>
      <w:r w:rsidRPr="00DA5C52">
        <w:rPr>
          <w:rFonts w:ascii="Bookman Old Style" w:eastAsia="Times New Roman" w:hAnsi="Bookman Old Style" w:cs="Times New Roman"/>
          <w:lang w:eastAsia="en-IN"/>
        </w:rPr>
        <w:t xml:space="preserve">Prior to promotion, Official 'X' had already earned his second MACP and was drawing </w:t>
      </w:r>
      <w:r w:rsidRPr="00DA5C52">
        <w:rPr>
          <w:rFonts w:ascii="Times New Roman" w:eastAsia="Times New Roman" w:hAnsi="Times New Roman" w:cs="Times New Roman"/>
          <w:lang w:eastAsia="en-IN"/>
        </w:rPr>
        <w:t>₹</w:t>
      </w:r>
      <w:r w:rsidRPr="00DA5C52">
        <w:rPr>
          <w:rFonts w:ascii="Bookman Old Style" w:eastAsia="Times New Roman" w:hAnsi="Bookman Old Style" w:cs="Times New Roman"/>
          <w:lang w:eastAsia="en-IN"/>
        </w:rPr>
        <w:t xml:space="preserve">49,000 in Pay Level-6. On promotion to AAO on 01.10.2018, his pay was fixed at </w:t>
      </w:r>
      <w:r w:rsidRPr="00DA5C52">
        <w:rPr>
          <w:rFonts w:ascii="Times New Roman" w:eastAsia="Times New Roman" w:hAnsi="Times New Roman" w:cs="Times New Roman"/>
          <w:lang w:eastAsia="en-IN"/>
        </w:rPr>
        <w:t>₹</w:t>
      </w:r>
      <w:r w:rsidRPr="00DA5C52">
        <w:rPr>
          <w:rFonts w:ascii="Bookman Old Style" w:eastAsia="Times New Roman" w:hAnsi="Bookman Old Style" w:cs="Times New Roman"/>
          <w:lang w:eastAsia="en-IN"/>
        </w:rPr>
        <w:t xml:space="preserve">49,000 in Pay Level-8. Official 'Y', being junior, was drawing only </w:t>
      </w:r>
      <w:r w:rsidRPr="00DA5C52">
        <w:rPr>
          <w:rFonts w:ascii="Times New Roman" w:eastAsia="Times New Roman" w:hAnsi="Times New Roman" w:cs="Times New Roman"/>
          <w:lang w:eastAsia="en-IN"/>
        </w:rPr>
        <w:t>₹</w:t>
      </w:r>
      <w:r w:rsidRPr="00DA5C52">
        <w:rPr>
          <w:rFonts w:ascii="Bookman Old Style" w:eastAsia="Times New Roman" w:hAnsi="Bookman Old Style" w:cs="Times New Roman"/>
          <w:lang w:eastAsia="en-IN"/>
        </w:rPr>
        <w:t xml:space="preserve">47,600 in Pay Level-8 on the same date. However, on 02.12.2019, Official 'Y' became eligible for his second MACP and was granted financial upgradation to Pay Level-9 with pay fixed at </w:t>
      </w:r>
      <w:r w:rsidRPr="00DA5C52">
        <w:rPr>
          <w:rFonts w:ascii="Times New Roman" w:eastAsia="Times New Roman" w:hAnsi="Times New Roman" w:cs="Times New Roman"/>
          <w:lang w:eastAsia="en-IN"/>
        </w:rPr>
        <w:t>₹</w:t>
      </w:r>
      <w:r w:rsidRPr="00DA5C52">
        <w:rPr>
          <w:rFonts w:ascii="Bookman Old Style" w:eastAsia="Times New Roman" w:hAnsi="Bookman Old Style" w:cs="Times New Roman"/>
          <w:lang w:eastAsia="en-IN"/>
        </w:rPr>
        <w:t xml:space="preserve">53,100, thereby surpassing the pay of Official 'X', who continued to remain in Pay Level-8 with pay of </w:t>
      </w:r>
      <w:r w:rsidRPr="00DA5C52">
        <w:rPr>
          <w:rFonts w:ascii="Times New Roman" w:eastAsia="Times New Roman" w:hAnsi="Times New Roman" w:cs="Times New Roman"/>
          <w:lang w:eastAsia="en-IN"/>
        </w:rPr>
        <w:t>₹</w:t>
      </w:r>
      <w:r w:rsidRPr="00DA5C52">
        <w:rPr>
          <w:rFonts w:ascii="Bookman Old Style" w:eastAsia="Times New Roman" w:hAnsi="Bookman Old Style" w:cs="Times New Roman"/>
          <w:lang w:eastAsia="en-IN"/>
        </w:rPr>
        <w:t>50,500.</w:t>
      </w:r>
    </w:p>
    <w:p w:rsidR="00B62E63" w:rsidRDefault="00DA5C52" w:rsidP="00B62E63">
      <w:pPr>
        <w:spacing w:after="0" w:line="240" w:lineRule="auto"/>
        <w:ind w:firstLine="720"/>
        <w:jc w:val="both"/>
        <w:rPr>
          <w:rFonts w:ascii="Bookman Old Style" w:eastAsia="Times New Roman" w:hAnsi="Bookman Old Style" w:cs="Times New Roman"/>
          <w:lang w:eastAsia="en-IN"/>
        </w:rPr>
      </w:pPr>
      <w:r w:rsidRPr="00DA5C52">
        <w:rPr>
          <w:rFonts w:ascii="Bookman Old Style" w:eastAsia="Times New Roman" w:hAnsi="Bookman Old Style" w:cs="Times New Roman"/>
          <w:lang w:eastAsia="en-IN"/>
        </w:rPr>
        <w:t>Consequently, despite entering service earlier, possessing longer qualifying service, securing a much higher rank in the departmental competitive examination and being senior in both cadres, Official 'X' was placed at a financial disadvantage compared to his junior solely due to the operation of MACP and pay fixation provisions. The anomaly continued until the grant of the next financial upgradation to Official 'X'</w:t>
      </w:r>
      <w:r w:rsidR="00B44302">
        <w:rPr>
          <w:rFonts w:ascii="Bookman Old Style" w:eastAsia="Times New Roman" w:hAnsi="Bookman Old Style" w:cs="Times New Roman"/>
          <w:lang w:eastAsia="en-IN"/>
        </w:rPr>
        <w:t xml:space="preserve"> through NFU</w:t>
      </w:r>
      <w:r w:rsidRPr="00DA5C52">
        <w:rPr>
          <w:rFonts w:ascii="Bookman Old Style" w:eastAsia="Times New Roman" w:hAnsi="Bookman Old Style" w:cs="Times New Roman"/>
          <w:lang w:eastAsia="en-IN"/>
        </w:rPr>
        <w:t>.</w:t>
      </w:r>
      <w:r w:rsidR="00A516E7">
        <w:rPr>
          <w:rFonts w:ascii="Bookman Old Style" w:eastAsia="Times New Roman" w:hAnsi="Bookman Old Style" w:cs="Times New Roman"/>
          <w:lang w:eastAsia="en-IN"/>
        </w:rPr>
        <w:t xml:space="preserve"> </w:t>
      </w:r>
    </w:p>
    <w:p w:rsidR="007D4864" w:rsidRDefault="00B62E63" w:rsidP="007D4864">
      <w:pPr>
        <w:spacing w:after="0" w:line="240" w:lineRule="auto"/>
        <w:ind w:firstLine="720"/>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Hence, it is requested that </w:t>
      </w:r>
      <w:r w:rsidR="005129B0">
        <w:rPr>
          <w:rFonts w:ascii="Bookman Old Style" w:eastAsia="Times New Roman" w:hAnsi="Bookman Old Style" w:cs="Times New Roman"/>
          <w:lang w:eastAsia="en-IN"/>
        </w:rPr>
        <w:t>8</w:t>
      </w:r>
      <w:r w:rsidR="005129B0" w:rsidRPr="005129B0">
        <w:rPr>
          <w:rFonts w:ascii="Bookman Old Style" w:eastAsia="Times New Roman" w:hAnsi="Bookman Old Style" w:cs="Times New Roman"/>
          <w:vertAlign w:val="superscript"/>
          <w:lang w:eastAsia="en-IN"/>
        </w:rPr>
        <w:t>th</w:t>
      </w:r>
      <w:r w:rsidR="005129B0">
        <w:rPr>
          <w:rFonts w:ascii="Bookman Old Style" w:eastAsia="Times New Roman" w:hAnsi="Bookman Old Style" w:cs="Times New Roman"/>
          <w:lang w:eastAsia="en-IN"/>
        </w:rPr>
        <w:t xml:space="preserve"> CPC may review the existing stepping up guidelines and provide proper provisions in stepping up guidelines to the effect that </w:t>
      </w:r>
      <w:r w:rsidR="001D3EFE">
        <w:rPr>
          <w:rFonts w:ascii="Bookman Old Style" w:eastAsia="Times New Roman" w:hAnsi="Bookman Old Style" w:cs="Times New Roman"/>
          <w:lang w:eastAsia="en-IN"/>
        </w:rPr>
        <w:t>a senior does not draw lesser pay than a junior under any circumstances for any period.</w:t>
      </w:r>
    </w:p>
    <w:p w:rsidR="007D4864" w:rsidRDefault="007D4864" w:rsidP="007D4864">
      <w:pPr>
        <w:spacing w:after="0" w:line="240" w:lineRule="auto"/>
        <w:jc w:val="both"/>
        <w:rPr>
          <w:rFonts w:ascii="Bookman Old Style" w:eastAsia="Times New Roman" w:hAnsi="Bookman Old Style" w:cs="Times New Roman"/>
          <w:lang w:eastAsia="en-IN"/>
        </w:rPr>
      </w:pPr>
    </w:p>
    <w:p w:rsidR="00506F43" w:rsidRPr="00506F43" w:rsidRDefault="00506F43" w:rsidP="00506F43">
      <w:pPr>
        <w:spacing w:after="0" w:line="240" w:lineRule="auto"/>
        <w:jc w:val="both"/>
        <w:rPr>
          <w:rFonts w:ascii="Bookman Old Style" w:eastAsia="Times New Roman" w:hAnsi="Bookman Old Style" w:cs="Times New Roman"/>
          <w:b/>
          <w:i/>
          <w:lang w:eastAsia="en-IN"/>
        </w:rPr>
      </w:pPr>
      <w:r w:rsidRPr="00506F43">
        <w:rPr>
          <w:rFonts w:ascii="Bookman Old Style" w:hAnsi="Bookman Old Style"/>
          <w:b/>
          <w:i/>
        </w:rPr>
        <w:t>Note: Detailed service particulars and evidence regarding the Rule 10 and MACP anomalies are structured in Annexure I, II, and III. Due to portal formatting constraints, these Annexures have been uploaded as a supplementary PDF attachment</w:t>
      </w:r>
    </w:p>
    <w:p w:rsidR="00506F43" w:rsidRDefault="00506F43" w:rsidP="007D4864">
      <w:pPr>
        <w:spacing w:after="0" w:line="240" w:lineRule="auto"/>
        <w:jc w:val="both"/>
        <w:rPr>
          <w:rFonts w:ascii="Bookman Old Style" w:eastAsia="Times New Roman" w:hAnsi="Bookman Old Style" w:cs="Times New Roman"/>
          <w:lang w:eastAsia="en-IN"/>
        </w:rPr>
      </w:pPr>
    </w:p>
    <w:p w:rsidR="00251B43" w:rsidRPr="007D4864" w:rsidRDefault="00A93AED" w:rsidP="007D4864">
      <w:pPr>
        <w:spacing w:after="0" w:line="240" w:lineRule="auto"/>
        <w:jc w:val="both"/>
        <w:rPr>
          <w:rFonts w:ascii="Bookman Old Style" w:eastAsia="Times New Roman" w:hAnsi="Bookman Old Style" w:cs="Times New Roman"/>
          <w:lang w:eastAsia="en-IN"/>
        </w:rPr>
      </w:pPr>
      <w:r w:rsidRPr="00ED72FA">
        <w:rPr>
          <w:rFonts w:ascii="Bookman Old Style" w:hAnsi="Bookman Old Style" w:cs="Arial"/>
          <w:b/>
          <w:color w:val="333333"/>
        </w:rPr>
        <w:t>1.6</w:t>
      </w:r>
      <w:r w:rsidR="00251B43" w:rsidRPr="00ED72FA">
        <w:rPr>
          <w:rFonts w:ascii="Bookman Old Style" w:hAnsi="Bookman Old Style" w:cs="Arial"/>
          <w:b/>
          <w:color w:val="333333"/>
        </w:rPr>
        <w:t xml:space="preserve"> </w:t>
      </w:r>
      <w:r w:rsidR="00251B43" w:rsidRPr="00ED72FA">
        <w:rPr>
          <w:rFonts w:ascii="Bookman Old Style" w:hAnsi="Bookman Old Style"/>
          <w:b/>
          <w:bCs/>
        </w:rPr>
        <w:t>REMOVAL OF PAY FIXATION ANOMALY IN PAY LEVELS 6, 7, AND 8 – ENSURING REAL FINANCIAL BENEFIT ON PROMOTION:</w:t>
      </w:r>
    </w:p>
    <w:p w:rsidR="00251B43" w:rsidRPr="00ED72FA" w:rsidRDefault="00251B43" w:rsidP="00251B43">
      <w:pPr>
        <w:spacing w:after="0" w:line="240" w:lineRule="auto"/>
        <w:ind w:firstLine="720"/>
        <w:jc w:val="both"/>
        <w:rPr>
          <w:rFonts w:ascii="Bookman Old Style" w:eastAsia="Times New Roman" w:hAnsi="Bookman Old Style" w:cs="Times New Roman"/>
          <w:lang w:eastAsia="en-IN"/>
        </w:rPr>
      </w:pPr>
      <w:r w:rsidRPr="00ED72FA">
        <w:rPr>
          <w:rFonts w:ascii="Bookman Old Style" w:eastAsia="Times New Roman" w:hAnsi="Bookman Old Style" w:cs="Times New Roman"/>
          <w:lang w:eastAsia="en-IN"/>
        </w:rPr>
        <w:lastRenderedPageBreak/>
        <w:t>Under the existing Pay Matrix introduced through th</w:t>
      </w:r>
      <w:r w:rsidR="009763C0" w:rsidRPr="00ED72FA">
        <w:rPr>
          <w:rFonts w:ascii="Bookman Old Style" w:eastAsia="Times New Roman" w:hAnsi="Bookman Old Style" w:cs="Times New Roman"/>
          <w:lang w:eastAsia="en-IN"/>
        </w:rPr>
        <w:t>e CCS (Revised Pay) Rules, 2016</w:t>
      </w:r>
      <w:r w:rsidRPr="00ED72FA">
        <w:rPr>
          <w:rFonts w:ascii="Bookman Old Style" w:eastAsia="Times New Roman" w:hAnsi="Bookman Old Style" w:cs="Times New Roman"/>
          <w:lang w:eastAsia="en-IN"/>
        </w:rPr>
        <w:t>, an anomaly has arisen in Pay Levels 6, 7, and 8 due to overlapping or identical cells. At present, when an employee is promoted from one of these levels to the next, the pay is often fixed in the same corresponding cell of the higher level instead of the next higher cell, resulting in no real financial gain.</w:t>
      </w:r>
    </w:p>
    <w:p w:rsidR="00251B43" w:rsidRPr="00736260" w:rsidRDefault="00251B43" w:rsidP="00A62B9B">
      <w:pPr>
        <w:spacing w:after="0" w:line="240" w:lineRule="auto"/>
        <w:ind w:firstLine="720"/>
        <w:jc w:val="both"/>
        <w:rPr>
          <w:rFonts w:ascii="Bookman Old Style" w:eastAsia="Times New Roman" w:hAnsi="Bookman Old Style" w:cs="Times New Roman"/>
          <w:lang w:eastAsia="en-IN"/>
        </w:rPr>
      </w:pPr>
      <w:r w:rsidRPr="00ED72FA">
        <w:rPr>
          <w:rFonts w:ascii="Bookman Old Style" w:eastAsia="Times New Roman" w:hAnsi="Bookman Old Style" w:cs="Times New Roman"/>
          <w:lang w:eastAsia="en-IN"/>
        </w:rPr>
        <w:t>This defeats the fundamental principle of promotion, which is intended to reward higher responsibility with a</w:t>
      </w:r>
      <w:r w:rsidRPr="00736260">
        <w:rPr>
          <w:rFonts w:ascii="Bookman Old Style" w:eastAsia="Times New Roman" w:hAnsi="Bookman Old Style" w:cs="Times New Roman"/>
          <w:lang w:eastAsia="en-IN"/>
        </w:rPr>
        <w:t xml:space="preserve"> tangible monetary benefit. The current structure leads to situations where an employee assumes greater duties and accountability without any immediate increase in basic pay, causing dissatisfaction and demotivation.</w:t>
      </w:r>
    </w:p>
    <w:p w:rsidR="00251B43" w:rsidRPr="00736260" w:rsidRDefault="00251B43" w:rsidP="00CF1BE4">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The issue arises because the Pay Matrix progression does not adequately differentiate between these </w:t>
      </w:r>
      <w:r w:rsidR="00C2712B" w:rsidRPr="00736260">
        <w:rPr>
          <w:rFonts w:ascii="Bookman Old Style" w:eastAsia="Times New Roman" w:hAnsi="Bookman Old Style" w:cs="Times New Roman"/>
          <w:lang w:eastAsia="en-IN"/>
        </w:rPr>
        <w:t>neighbouring</w:t>
      </w:r>
      <w:r w:rsidRPr="00736260">
        <w:rPr>
          <w:rFonts w:ascii="Bookman Old Style" w:eastAsia="Times New Roman" w:hAnsi="Bookman Old Style" w:cs="Times New Roman"/>
          <w:lang w:eastAsia="en-IN"/>
        </w:rPr>
        <w:t xml:space="preserve"> levels, and the pay fixation method does not mandate movement to the next higher cell when the corresponding cell is identical. As a result, the intended benefit of one increment on promotion is effectively neutralized in many cases.</w:t>
      </w:r>
    </w:p>
    <w:p w:rsidR="00251B43" w:rsidRPr="00736260" w:rsidRDefault="00251B43" w:rsidP="004F23C9">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It is therefore </w:t>
      </w:r>
      <w:r w:rsidR="001D10CB">
        <w:rPr>
          <w:rFonts w:ascii="Bookman Old Style" w:eastAsia="Times New Roman" w:hAnsi="Bookman Old Style" w:cs="Times New Roman"/>
          <w:lang w:eastAsia="en-IN"/>
        </w:rPr>
        <w:t>requested</w:t>
      </w:r>
      <w:r w:rsidRPr="00736260">
        <w:rPr>
          <w:rFonts w:ascii="Bookman Old Style" w:eastAsia="Times New Roman" w:hAnsi="Bookman Old Style" w:cs="Times New Roman"/>
          <w:lang w:eastAsia="en-IN"/>
        </w:rPr>
        <w:t xml:space="preserve"> that 8th </w:t>
      </w:r>
      <w:r w:rsidR="008C09AA">
        <w:rPr>
          <w:rFonts w:ascii="Bookman Old Style" w:eastAsia="Times New Roman" w:hAnsi="Bookman Old Style" w:cs="Times New Roman"/>
          <w:lang w:eastAsia="en-IN"/>
        </w:rPr>
        <w:t>CPC</w:t>
      </w:r>
      <w:r w:rsidRPr="00736260">
        <w:rPr>
          <w:rFonts w:ascii="Bookman Old Style" w:eastAsia="Times New Roman" w:hAnsi="Bookman Old Style" w:cs="Times New Roman"/>
          <w:lang w:eastAsia="en-IN"/>
        </w:rPr>
        <w:t xml:space="preserve"> </w:t>
      </w:r>
      <w:r w:rsidR="001D10CB">
        <w:rPr>
          <w:rFonts w:ascii="Bookman Old Style" w:eastAsia="Times New Roman" w:hAnsi="Bookman Old Style" w:cs="Times New Roman"/>
          <w:lang w:eastAsia="en-IN"/>
        </w:rPr>
        <w:t xml:space="preserve">may </w:t>
      </w:r>
      <w:r w:rsidRPr="00736260">
        <w:rPr>
          <w:rFonts w:ascii="Bookman Old Style" w:eastAsia="Times New Roman" w:hAnsi="Bookman Old Style" w:cs="Times New Roman"/>
          <w:lang w:eastAsia="en-IN"/>
        </w:rPr>
        <w:t>recommend suitable modification of Pay Levels 6, 7, and 8 to eliminate overlapping cells. Alternatively, a clear provision may be introduced that on promotion, pay shall be fixed at least at the next higher cell in the promoted level, ensuring a definite and visible financial benefit.</w:t>
      </w:r>
    </w:p>
    <w:p w:rsidR="00162043" w:rsidRDefault="00251B43" w:rsidP="00162043">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This correction is essential to uphold the principle of fair compensation for higher responsibility, maintain employee morale, and preserve the integrity of the promotion system. Ensuring a minimum guaranteed financial gain on promotion will align the pay structure with its intended objective and remove a widely felt anomaly among employees.</w:t>
      </w:r>
    </w:p>
    <w:p w:rsidR="00893CB3" w:rsidRDefault="00893CB3" w:rsidP="00162043">
      <w:pPr>
        <w:spacing w:after="0" w:line="240" w:lineRule="auto"/>
        <w:jc w:val="both"/>
        <w:rPr>
          <w:rFonts w:ascii="Bookman Old Style" w:eastAsia="Times New Roman" w:hAnsi="Bookman Old Style" w:cs="Times New Roman"/>
          <w:lang w:eastAsia="en-IN"/>
        </w:rPr>
      </w:pPr>
    </w:p>
    <w:p w:rsidR="00C45DB9" w:rsidRPr="00162043" w:rsidRDefault="005E7B1A" w:rsidP="00162043">
      <w:p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Arial"/>
          <w:b/>
          <w:bCs/>
          <w:color w:val="333333"/>
          <w:highlight w:val="yellow"/>
          <w:lang w:eastAsia="en-IN"/>
        </w:rPr>
        <w:t xml:space="preserve">2- </w:t>
      </w:r>
      <w:r w:rsidR="00C45DB9" w:rsidRPr="00736260">
        <w:rPr>
          <w:rFonts w:ascii="Bookman Old Style" w:eastAsia="Times New Roman" w:hAnsi="Bookman Old Style" w:cs="Arial"/>
          <w:b/>
          <w:bCs/>
          <w:color w:val="333333"/>
          <w:highlight w:val="yellow"/>
          <w:lang w:eastAsia="en-IN"/>
        </w:rPr>
        <w:t>Allowances</w:t>
      </w:r>
    </w:p>
    <w:p w:rsidR="00577A27" w:rsidRPr="00C14FD8" w:rsidRDefault="00C45DB9" w:rsidP="00577A27">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Q2. What concerns / views do you face related to Allowances?</w:t>
      </w:r>
      <w:r w:rsidR="006376BC">
        <w:rPr>
          <w:rFonts w:ascii="Bookman Old Style" w:eastAsia="Times New Roman" w:hAnsi="Bookman Old Style" w:cs="Arial"/>
          <w:b/>
          <w:bCs/>
          <w:color w:val="333333"/>
          <w:lang w:eastAsia="en-IN"/>
        </w:rPr>
        <w:t xml:space="preserve"> </w:t>
      </w:r>
      <w:r w:rsidR="003A223D">
        <w:rPr>
          <w:rFonts w:ascii="Bookman Old Style" w:eastAsia="Times New Roman" w:hAnsi="Bookman Old Style" w:cs="Arial"/>
          <w:b/>
          <w:bCs/>
          <w:color w:val="333333"/>
          <w:lang w:eastAsia="en-IN"/>
        </w:rPr>
        <w:t xml:space="preserve"> </w:t>
      </w:r>
      <w:r w:rsidR="003864A7">
        <w:rPr>
          <w:rFonts w:ascii="Bookman Old Style" w:eastAsia="Times New Roman" w:hAnsi="Bookman Old Style" w:cs="Arial"/>
          <w:b/>
          <w:bCs/>
          <w:color w:val="333333"/>
          <w:lang w:eastAsia="en-IN"/>
        </w:rPr>
        <w:t>(11073 Characters)</w:t>
      </w:r>
    </w:p>
    <w:p w:rsidR="00C45DB9" w:rsidRPr="00736260" w:rsidRDefault="00C45DB9" w:rsidP="00D925C9">
      <w:pPr>
        <w:shd w:val="clear" w:color="auto" w:fill="FFFFFF"/>
        <w:spacing w:after="0" w:line="240" w:lineRule="auto"/>
        <w:jc w:val="both"/>
        <w:rPr>
          <w:rFonts w:ascii="Bookman Old Style" w:eastAsia="Times New Roman" w:hAnsi="Bookman Old Style" w:cs="Arial"/>
          <w:color w:val="333333"/>
          <w:lang w:eastAsia="en-IN"/>
        </w:rPr>
      </w:pPr>
    </w:p>
    <w:p w:rsidR="005622CB" w:rsidRDefault="00A11E50" w:rsidP="007E72F4">
      <w:pPr>
        <w:spacing w:after="0" w:line="240" w:lineRule="auto"/>
        <w:ind w:firstLine="720"/>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Before proceeding into our demands on various allowances, we wish to submit the we are in agreement with </w:t>
      </w:r>
      <w:r w:rsidR="007E72F4">
        <w:rPr>
          <w:rFonts w:ascii="Bookman Old Style" w:eastAsia="Times New Roman" w:hAnsi="Bookman Old Style" w:cs="Times New Roman"/>
          <w:lang w:eastAsia="en-IN"/>
        </w:rPr>
        <w:t xml:space="preserve">JCM on </w:t>
      </w:r>
      <w:r w:rsidR="005B76FD">
        <w:rPr>
          <w:rFonts w:ascii="Bookman Old Style" w:eastAsia="Times New Roman" w:hAnsi="Bookman Old Style" w:cs="Times New Roman"/>
          <w:lang w:eastAsia="en-IN"/>
        </w:rPr>
        <w:t>DA, HRA, Transport Allowance, Night Duty Allowance and other allowances.</w:t>
      </w:r>
    </w:p>
    <w:p w:rsidR="00116543" w:rsidRPr="007E72F4" w:rsidRDefault="00116543" w:rsidP="007E72F4">
      <w:pPr>
        <w:spacing w:after="0" w:line="240" w:lineRule="auto"/>
        <w:ind w:firstLine="720"/>
        <w:jc w:val="both"/>
        <w:rPr>
          <w:rFonts w:ascii="Bookman Old Style" w:eastAsia="Times New Roman" w:hAnsi="Bookman Old Style" w:cs="Times New Roman"/>
          <w:lang w:eastAsia="en-IN"/>
        </w:rPr>
      </w:pPr>
    </w:p>
    <w:p w:rsidR="009C38B7" w:rsidRPr="00736260" w:rsidRDefault="009C38B7" w:rsidP="006057FA">
      <w:pPr>
        <w:spacing w:after="0" w:line="240" w:lineRule="auto"/>
        <w:jc w:val="both"/>
        <w:rPr>
          <w:rFonts w:ascii="Bookman Old Style" w:eastAsia="Times New Roman" w:hAnsi="Bookman Old Style" w:cs="Times New Roman"/>
          <w:lang w:eastAsia="en-IN"/>
        </w:rPr>
      </w:pPr>
    </w:p>
    <w:p w:rsidR="00BB384A" w:rsidRPr="009C38B7" w:rsidRDefault="00497131" w:rsidP="00BB384A">
      <w:pPr>
        <w:spacing w:after="0" w:line="240" w:lineRule="auto"/>
        <w:rPr>
          <w:rFonts w:ascii="Bookman Old Style" w:eastAsia="Times New Roman" w:hAnsi="Bookman Old Style" w:cs="Times New Roman"/>
          <w:b/>
          <w:lang w:eastAsia="en-IN"/>
        </w:rPr>
      </w:pPr>
      <w:r>
        <w:rPr>
          <w:rFonts w:ascii="Bookman Old Style" w:eastAsia="Times New Roman" w:hAnsi="Bookman Old Style" w:cs="Times New Roman"/>
          <w:b/>
          <w:lang w:eastAsia="en-IN"/>
        </w:rPr>
        <w:t>2.1</w:t>
      </w:r>
      <w:r w:rsidR="00BB384A" w:rsidRPr="009C38B7">
        <w:rPr>
          <w:rFonts w:ascii="Bookman Old Style" w:eastAsia="Times New Roman" w:hAnsi="Bookman Old Style" w:cs="Times New Roman"/>
          <w:b/>
          <w:lang w:eastAsia="en-IN"/>
        </w:rPr>
        <w:t xml:space="preserve"> CITY COMPENSATORY ALLOWANCE:</w:t>
      </w:r>
    </w:p>
    <w:p w:rsidR="00BB384A" w:rsidRPr="009C38B7" w:rsidRDefault="00BB384A" w:rsidP="009C38B7">
      <w:pPr>
        <w:spacing w:after="0" w:line="240" w:lineRule="auto"/>
        <w:jc w:val="both"/>
        <w:rPr>
          <w:rFonts w:ascii="Bookman Old Style" w:hAnsi="Bookman Old Style"/>
        </w:rPr>
      </w:pPr>
      <w:r w:rsidRPr="009C38B7">
        <w:rPr>
          <w:rFonts w:ascii="Bookman Old Style" w:eastAsia="Times New Roman" w:hAnsi="Bookman Old Style" w:cs="Times New Roman"/>
          <w:lang w:eastAsia="en-IN"/>
        </w:rPr>
        <w:tab/>
      </w:r>
      <w:r w:rsidR="009C38B7" w:rsidRPr="009C38B7">
        <w:rPr>
          <w:rFonts w:ascii="Bookman Old Style" w:hAnsi="Bookman Old Style"/>
        </w:rPr>
        <w:t>The 6th Central Pay Commission abolished the City Compensatory Allowance (CCA) by subsuming it into the Transport Allowance, a framework unfortunately continued by the 7th CPC. However, this merger fundamentally misdiagnosed the broader economic realities of urban postings. Transport Allowance is strictly</w:t>
      </w:r>
      <w:r w:rsidR="003A50B9">
        <w:rPr>
          <w:rFonts w:ascii="Bookman Old Style" w:hAnsi="Bookman Old Style"/>
        </w:rPr>
        <w:t xml:space="preserve"> </w:t>
      </w:r>
      <w:r w:rsidR="009C38B7" w:rsidRPr="009C38B7">
        <w:rPr>
          <w:rFonts w:ascii="Bookman Old Style" w:hAnsi="Bookman Old Style"/>
        </w:rPr>
        <w:t xml:space="preserve">designed to offset commuting costs, whereas the erstwhile CCA existed to buffer the overarching, premium cost of living in metropolitan and major urban areas. Over the past decade and a half, Tier-1 (X-class) and major Tier-2 (Y-class) cities have experienced hyper-inflation in day-to-day expenses—such as education, local services, utilities, and daily consumables—that drastically outpaces the national average used to calculate Dearness Allowance (DA). While House Rent Allowance (HRA) attempts to address accommodation, it offers absolutely no relief for these steep, non-housing living expenses. Consequently, government employees posted in major cities face a severe erosion of their real wages and purchasing power, resulting in significantly lower savings compared to their counterparts in smaller towns drawing the exact same basic pay. This disparity violates the principle of financial equity within the uniform pay matrix. Therefore, we strongly demand that the 8th CPC rectify this historical anomaly and restore the City Compensatory Allowance as an independent, tiered allowance. Reinstating CCA is absolutely essential to ensure </w:t>
      </w:r>
      <w:r w:rsidR="009C38B7" w:rsidRPr="009C38B7">
        <w:rPr>
          <w:rFonts w:ascii="Bookman Old Style" w:hAnsi="Bookman Old Style"/>
        </w:rPr>
        <w:lastRenderedPageBreak/>
        <w:t xml:space="preserve">that employees in metropolitan </w:t>
      </w:r>
      <w:r w:rsidR="008C1641" w:rsidRPr="009C38B7">
        <w:rPr>
          <w:rFonts w:ascii="Bookman Old Style" w:hAnsi="Bookman Old Style"/>
        </w:rPr>
        <w:t>centres</w:t>
      </w:r>
      <w:r w:rsidR="009C38B7" w:rsidRPr="009C38B7">
        <w:rPr>
          <w:rFonts w:ascii="Bookman Old Style" w:hAnsi="Bookman Old Style"/>
        </w:rPr>
        <w:t xml:space="preserve"> are not financially penalized for their place of posting and can maintain a dignified, equitable standard of living</w:t>
      </w:r>
    </w:p>
    <w:p w:rsidR="009C38B7" w:rsidRDefault="009C38B7" w:rsidP="009C38B7">
      <w:pPr>
        <w:spacing w:after="0" w:line="240" w:lineRule="auto"/>
        <w:jc w:val="both"/>
        <w:rPr>
          <w:rFonts w:ascii="Bookman Old Style" w:hAnsi="Bookman Old Style"/>
          <w:b/>
          <w:bCs/>
        </w:rPr>
      </w:pPr>
    </w:p>
    <w:p w:rsidR="00E82365" w:rsidRPr="00736260" w:rsidRDefault="00185B6D" w:rsidP="00BD77E8">
      <w:pPr>
        <w:pStyle w:val="NormalWeb"/>
        <w:spacing w:before="0" w:beforeAutospacing="0" w:after="0" w:afterAutospacing="0"/>
        <w:jc w:val="both"/>
        <w:rPr>
          <w:rFonts w:ascii="Bookman Old Style" w:hAnsi="Bookman Old Style"/>
          <w:b/>
          <w:bCs/>
          <w:sz w:val="22"/>
          <w:szCs w:val="22"/>
        </w:rPr>
      </w:pPr>
      <w:r>
        <w:rPr>
          <w:rFonts w:ascii="Bookman Old Style" w:hAnsi="Bookman Old Style"/>
          <w:b/>
          <w:bCs/>
          <w:sz w:val="22"/>
          <w:szCs w:val="22"/>
        </w:rPr>
        <w:t>2.2</w:t>
      </w:r>
      <w:r w:rsidR="00A417EE" w:rsidRPr="00736260">
        <w:rPr>
          <w:rFonts w:ascii="Bookman Old Style" w:hAnsi="Bookman Old Style"/>
          <w:b/>
          <w:bCs/>
          <w:sz w:val="22"/>
          <w:szCs w:val="22"/>
        </w:rPr>
        <w:t xml:space="preserve"> INTRODUCTION OF A PERIODIC FURNITURE &amp; HOUSEHOLD ASSET ALLOWANCE FOR CENTRAL GOVERNMENT EMPLOYEES WITH ALL-INDIA TRANSFER LIABILITY</w:t>
      </w:r>
      <w:r w:rsidR="00E82365" w:rsidRPr="00736260">
        <w:rPr>
          <w:rFonts w:ascii="Bookman Old Style" w:hAnsi="Bookman Old Style"/>
          <w:b/>
          <w:bCs/>
          <w:sz w:val="22"/>
          <w:szCs w:val="22"/>
        </w:rPr>
        <w:t>:</w:t>
      </w:r>
    </w:p>
    <w:p w:rsidR="0075022A" w:rsidRPr="00736260" w:rsidRDefault="00A70B32" w:rsidP="00BD77E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Central Government employees with All-India Transfer Liability play a crucial role in maintaining nationwide administrative connectivity. However, frequent transfers impose significant personal financial burdens due to repeated relocation of household goods. Regular dismantling, transport, and reinstallation of furniture and appliances lead to rapid wear, depreciation, and damage. The existing Composite Transfer Grant (CTG) only covers incidental relocation costs like packing and transit, not the replacement of damaged assets. It also does not address the need to purchase new furniture suited to different housing conditions across locations.</w:t>
      </w:r>
      <w:r w:rsidR="0075022A" w:rsidRPr="00736260">
        <w:rPr>
          <w:rFonts w:ascii="Bookman Old Style" w:eastAsia="Times New Roman" w:hAnsi="Bookman Old Style" w:cs="Times New Roman"/>
          <w:lang w:eastAsia="en-IN"/>
        </w:rPr>
        <w:t xml:space="preserve"> </w:t>
      </w:r>
    </w:p>
    <w:p w:rsidR="0075022A" w:rsidRPr="00736260" w:rsidRDefault="00A70B32" w:rsidP="00BD77E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As a result, employees—especially at junior and middle levels—face continuous depletion of personal savings just to maintain a basic standard of living. Despite the Government of India’s commitment to being a “Model Employer,” a clear disparity exists compared to CPSEs and Public Sector Banks. Institutions such as State Bank of India, Bank of Baroda, and Canara Bank provide structured furniture allowances to their employees. Central Government employees, facing similar or greater transfer liabilities, lack such support.</w:t>
      </w:r>
      <w:r w:rsidR="0075022A" w:rsidRPr="00736260">
        <w:rPr>
          <w:rFonts w:ascii="Bookman Old Style" w:eastAsia="Times New Roman" w:hAnsi="Bookman Old Style" w:cs="Times New Roman"/>
          <w:lang w:eastAsia="en-IN"/>
        </w:rPr>
        <w:t xml:space="preserve"> </w:t>
      </w:r>
    </w:p>
    <w:p w:rsidR="007D4864" w:rsidRDefault="00A70B32" w:rsidP="007D4864">
      <w:pPr>
        <w:spacing w:after="0" w:line="240" w:lineRule="auto"/>
        <w:ind w:firstLine="720"/>
        <w:jc w:val="both"/>
        <w:rPr>
          <w:rFonts w:ascii="Bookman Old Style" w:eastAsia="Times New Roman" w:hAnsi="Bookman Old Style" w:cs="Times New Roman"/>
          <w:sz w:val="24"/>
          <w:szCs w:val="24"/>
          <w:lang w:eastAsia="en-IN"/>
        </w:rPr>
      </w:pPr>
      <w:r w:rsidRPr="00736260">
        <w:rPr>
          <w:rFonts w:ascii="Bookman Old Style" w:eastAsia="Times New Roman" w:hAnsi="Bookman Old Style" w:cs="Times New Roman"/>
          <w:lang w:eastAsia="en-IN"/>
        </w:rPr>
        <w:t>Introducing a structured Furniture Allowance would significantly reduce the financial and psychological stress of relocations. It would enable employees to quickly establish a stable and dignified household in new locations. This, in turn, would improve morale, productivity, and administrative efficiency.</w:t>
      </w:r>
      <w:r w:rsidR="0075022A" w:rsidRPr="00736260">
        <w:rPr>
          <w:rFonts w:ascii="Bookman Old Style" w:eastAsia="Times New Roman" w:hAnsi="Bookman Old Style" w:cs="Times New Roman"/>
          <w:lang w:eastAsia="en-IN"/>
        </w:rPr>
        <w:t xml:space="preserve"> </w:t>
      </w:r>
      <w:r w:rsidRPr="00736260">
        <w:rPr>
          <w:rFonts w:ascii="Bookman Old Style" w:eastAsia="Times New Roman" w:hAnsi="Bookman Old Style" w:cs="Times New Roman"/>
          <w:lang w:eastAsia="en-IN"/>
        </w:rPr>
        <w:t xml:space="preserve">Therefore, it is proposed that the 8th Central Pay Commission recommend a periodic Furniture Allowance. Officers up to Pay Level 8 should receive a block grant of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 xml:space="preserve">3,00,000 every five years. Officers in Pay Level 9 and above should receive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 xml:space="preserve">6,00,000 every five years. This benefit should be restricted to employees with All-India Transfer Liability. Such a measure would fairly compensate for asset depreciation caused by service conditions and reinforce the Government’s role as a </w:t>
      </w:r>
      <w:r w:rsidRPr="00736260">
        <w:rPr>
          <w:rFonts w:ascii="Bookman Old Style" w:eastAsia="Times New Roman" w:hAnsi="Bookman Old Style" w:cs="Times New Roman"/>
          <w:sz w:val="24"/>
          <w:szCs w:val="24"/>
          <w:lang w:eastAsia="en-IN"/>
        </w:rPr>
        <w:t>model employer.</w:t>
      </w:r>
    </w:p>
    <w:p w:rsidR="007D4864" w:rsidRDefault="007D4864" w:rsidP="007D4864">
      <w:pPr>
        <w:spacing w:after="0" w:line="240" w:lineRule="auto"/>
        <w:jc w:val="both"/>
        <w:rPr>
          <w:rFonts w:ascii="Bookman Old Style" w:eastAsia="Times New Roman" w:hAnsi="Bookman Old Style" w:cs="Times New Roman"/>
          <w:sz w:val="24"/>
          <w:szCs w:val="24"/>
          <w:lang w:eastAsia="en-IN"/>
        </w:rPr>
      </w:pPr>
    </w:p>
    <w:p w:rsidR="003F3213" w:rsidRPr="007D4864" w:rsidRDefault="00185B6D" w:rsidP="007D4864">
      <w:pPr>
        <w:spacing w:after="0" w:line="240" w:lineRule="auto"/>
        <w:jc w:val="both"/>
        <w:rPr>
          <w:rFonts w:ascii="Bookman Old Style" w:eastAsia="Times New Roman" w:hAnsi="Bookman Old Style" w:cs="Times New Roman"/>
          <w:b/>
          <w:lang w:eastAsia="en-IN"/>
        </w:rPr>
      </w:pPr>
      <w:r w:rsidRPr="007D4864">
        <w:rPr>
          <w:rFonts w:ascii="Bookman Old Style" w:hAnsi="Bookman Old Style"/>
          <w:b/>
        </w:rPr>
        <w:t>2.3</w:t>
      </w:r>
      <w:r w:rsidR="003F3213" w:rsidRPr="007D4864">
        <w:rPr>
          <w:rFonts w:ascii="Bookman Old Style" w:hAnsi="Bookman Old Style"/>
          <w:b/>
        </w:rPr>
        <w:t xml:space="preserve"> EXTENSION OF BONUS BENE</w:t>
      </w:r>
      <w:r w:rsidR="00587715" w:rsidRPr="007D4864">
        <w:rPr>
          <w:rFonts w:ascii="Bookman Old Style" w:hAnsi="Bookman Old Style"/>
          <w:b/>
        </w:rPr>
        <w:t xml:space="preserve">FITS (PLB/NON-PLB) TO </w:t>
      </w:r>
      <w:r w:rsidR="003F3213" w:rsidRPr="007D4864">
        <w:rPr>
          <w:rFonts w:ascii="Bookman Old Style" w:hAnsi="Bookman Old Style"/>
          <w:b/>
        </w:rPr>
        <w:t>GAZETTED OFFICERS:</w:t>
      </w:r>
    </w:p>
    <w:p w:rsidR="007D4864" w:rsidRDefault="003728E3" w:rsidP="007D4864">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At present, Bonus—both Productivity Linked Bonus (PLB) and Non-Productivity Linked Bonus—is restricted to Group ‘C’ and Group ‘B’ (Non-Gazetted) employees, excluding Group ‘B’ Gazetted officers. This exclusion is based solely on Gazetted status, which is an outdated classification not aligned with present-day functional realities. In practice, Gazetted officers contribute equally, if not more, to departmental productivity through supervision, decision-making, and direct operational responsibilities.</w:t>
      </w:r>
      <w:r w:rsidR="00FC2848" w:rsidRPr="00736260">
        <w:rPr>
          <w:rFonts w:ascii="Bookman Old Style" w:eastAsia="Times New Roman" w:hAnsi="Bookman Old Style" w:cs="Times New Roman"/>
          <w:lang w:eastAsia="en-IN"/>
        </w:rPr>
        <w:t xml:space="preserve"> </w:t>
      </w:r>
      <w:r w:rsidRPr="00736260">
        <w:rPr>
          <w:rFonts w:ascii="Bookman Old Style" w:eastAsia="Times New Roman" w:hAnsi="Bookman Old Style" w:cs="Times New Roman"/>
          <w:lang w:eastAsia="en-IN"/>
        </w:rPr>
        <w:t>Moreover, the pay gap between Gazetted and Non-Gazetted employees has significantly narrowed under the 7th CPC structure. In many cases, non-gazetted officials draw equal or even higher pay than entry-level Gazetted officers, yet continue to receive Bonus while the latter are excluded. This creates a clear inconsistency where entitlement is denied not on financial grounds but purely on designation.</w:t>
      </w:r>
      <w:r w:rsidR="00FC2848" w:rsidRPr="00736260">
        <w:rPr>
          <w:rFonts w:ascii="Bookman Old Style" w:eastAsia="Times New Roman" w:hAnsi="Bookman Old Style" w:cs="Times New Roman"/>
          <w:lang w:eastAsia="en-IN"/>
        </w:rPr>
        <w:t xml:space="preserve"> </w:t>
      </w:r>
      <w:r w:rsidRPr="00736260">
        <w:rPr>
          <w:rFonts w:ascii="Bookman Old Style" w:eastAsia="Times New Roman" w:hAnsi="Bookman Old Style" w:cs="Times New Roman"/>
          <w:lang w:eastAsia="en-IN"/>
        </w:rPr>
        <w:t xml:space="preserve">Such exclusion leads to a sense of inequity and undermines the role of officers who are integral to achieving departmental outcomes. Productivity is a collective effort, and denying Bonus to one segment weakens the incentive </w:t>
      </w:r>
      <w:r w:rsidR="007D4864">
        <w:rPr>
          <w:rFonts w:ascii="Bookman Old Style" w:eastAsia="Times New Roman" w:hAnsi="Bookman Old Style" w:cs="Times New Roman"/>
          <w:lang w:eastAsia="en-IN"/>
        </w:rPr>
        <w:t>structure of the organization.</w:t>
      </w:r>
    </w:p>
    <w:p w:rsidR="007D4864" w:rsidRDefault="007D4864" w:rsidP="007D4864">
      <w:pPr>
        <w:spacing w:after="0" w:line="240" w:lineRule="auto"/>
        <w:jc w:val="both"/>
        <w:rPr>
          <w:rFonts w:ascii="Bookman Old Style" w:eastAsia="Times New Roman" w:hAnsi="Bookman Old Style" w:cs="Times New Roman"/>
          <w:lang w:eastAsia="en-IN"/>
        </w:rPr>
      </w:pPr>
    </w:p>
    <w:p w:rsidR="00B2398E" w:rsidRPr="007D4864" w:rsidRDefault="00185B6D" w:rsidP="007D4864">
      <w:pPr>
        <w:spacing w:after="0" w:line="240" w:lineRule="auto"/>
        <w:jc w:val="both"/>
        <w:rPr>
          <w:rFonts w:ascii="Bookman Old Style" w:eastAsia="Times New Roman" w:hAnsi="Bookman Old Style" w:cs="Times New Roman"/>
          <w:lang w:eastAsia="en-IN"/>
        </w:rPr>
      </w:pPr>
      <w:r>
        <w:rPr>
          <w:rFonts w:ascii="Bookman Old Style" w:hAnsi="Bookman Old Style" w:cs="Arial"/>
          <w:b/>
          <w:color w:val="333333"/>
        </w:rPr>
        <w:t>2.4</w:t>
      </w:r>
      <w:r w:rsidR="00FF4ABB" w:rsidRPr="00736260">
        <w:rPr>
          <w:rFonts w:ascii="Bookman Old Style" w:hAnsi="Bookman Old Style" w:cs="Arial"/>
          <w:color w:val="333333"/>
        </w:rPr>
        <w:t xml:space="preserve"> </w:t>
      </w:r>
      <w:r w:rsidR="00B2398E" w:rsidRPr="00736260">
        <w:rPr>
          <w:rFonts w:ascii="Bookman Old Style" w:hAnsi="Bookman Old Style"/>
          <w:b/>
          <w:bCs/>
        </w:rPr>
        <w:t>PROPOSAL FOR RATIONALIZATION AND EXPANSION OF CHILDREN EDUCATION ALLOWANCE (CEA)</w:t>
      </w:r>
    </w:p>
    <w:p w:rsidR="00B2398E" w:rsidRPr="00736260" w:rsidRDefault="00B2398E" w:rsidP="00B2398E">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lastRenderedPageBreak/>
        <w:t>The existing Children Education Allowance (CEA) framework provides a uniform reimbursement irrespective of the stage of education, which no longer reflects the progressive nature of educational expenditure. Costs increase significantly at higher levels due to coaching, laboratory fees, digital learning, and competitive examination requirements, making the current structure inadequate. Further, expansion of admissibility from pre-school to Class XII under NEP 2020 has increased the financial burden without corresponding revision in allowance structure.</w:t>
      </w:r>
    </w:p>
    <w:p w:rsidR="00B2398E" w:rsidRPr="00736260" w:rsidRDefault="00B2398E" w:rsidP="00B2398E">
      <w:pPr>
        <w:spacing w:after="0" w:line="240" w:lineRule="auto"/>
        <w:ind w:firstLine="720"/>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It is therefore proposed that CEA be rationalized through a slab-based structure as follows:</w:t>
      </w:r>
      <w:r w:rsidRPr="00736260">
        <w:rPr>
          <w:rFonts w:ascii="Bookman Old Style" w:eastAsia="Times New Roman" w:hAnsi="Bookman Old Style" w:cs="Times New Roman"/>
          <w:lang w:eastAsia="en-IN"/>
        </w:rPr>
        <w:br/>
        <w:t>• Stage I (Pre-primary to Class V): Basic level allowance</w:t>
      </w:r>
      <w:r w:rsidRPr="00736260">
        <w:rPr>
          <w:rFonts w:ascii="Bookman Old Style" w:eastAsia="Times New Roman" w:hAnsi="Bookman Old Style" w:cs="Times New Roman"/>
          <w:lang w:eastAsia="en-IN"/>
        </w:rPr>
        <w:br/>
        <w:t>• Stage II (Class VI to Class X): Enhanced allowance</w:t>
      </w:r>
      <w:r w:rsidRPr="00736260">
        <w:rPr>
          <w:rFonts w:ascii="Bookman Old Style" w:eastAsia="Times New Roman" w:hAnsi="Bookman Old Style" w:cs="Times New Roman"/>
          <w:lang w:eastAsia="en-IN"/>
        </w:rPr>
        <w:br/>
        <w:t xml:space="preserve">• Stage III (Class XI and </w:t>
      </w:r>
      <w:r w:rsidR="003D47F9">
        <w:rPr>
          <w:rFonts w:ascii="Bookman Old Style" w:eastAsia="Times New Roman" w:hAnsi="Bookman Old Style" w:cs="Times New Roman"/>
          <w:lang w:eastAsia="en-IN"/>
        </w:rPr>
        <w:t>above</w:t>
      </w:r>
      <w:r w:rsidRPr="00736260">
        <w:rPr>
          <w:rFonts w:ascii="Bookman Old Style" w:eastAsia="Times New Roman" w:hAnsi="Bookman Old Style" w:cs="Times New Roman"/>
          <w:lang w:eastAsia="en-IN"/>
        </w:rPr>
        <w:t xml:space="preserve">): Highest allowance, considering peak expenditure phase, extendable up to </w:t>
      </w:r>
      <w:r w:rsidR="00B95ACD">
        <w:rPr>
          <w:rFonts w:ascii="Bookman Old Style" w:eastAsia="Times New Roman" w:hAnsi="Bookman Old Style" w:cs="Times New Roman"/>
          <w:lang w:eastAsia="en-IN"/>
        </w:rPr>
        <w:t>P</w:t>
      </w:r>
      <w:r w:rsidR="003D47F9">
        <w:rPr>
          <w:rFonts w:ascii="Bookman Old Style" w:eastAsia="Times New Roman" w:hAnsi="Bookman Old Style" w:cs="Times New Roman"/>
          <w:lang w:eastAsia="en-IN"/>
        </w:rPr>
        <w:t xml:space="preserve">G </w:t>
      </w:r>
      <w:r w:rsidRPr="00736260">
        <w:rPr>
          <w:rFonts w:ascii="Bookman Old Style" w:eastAsia="Times New Roman" w:hAnsi="Bookman Old Style" w:cs="Times New Roman"/>
          <w:lang w:eastAsia="en-IN"/>
        </w:rPr>
        <w:t>Degree level</w:t>
      </w:r>
    </w:p>
    <w:p w:rsidR="00A51782" w:rsidRPr="00736260" w:rsidRDefault="00B2398E" w:rsidP="00B2398E">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In addition to the above, the present framework does not adequately cover essential components such as coaching and residential education. Students in higher classes increasingly require specialized coaching for competitive examinations, involving substantial expenditure. Similarly, due to transfer liability or lack of suitable institutions at the place of posting, employees often incur additional costs towards hostel or paying guest accommodation for their children.</w:t>
      </w:r>
      <w:r w:rsidR="00A51782">
        <w:rPr>
          <w:rFonts w:ascii="Bookman Old Style" w:eastAsia="Times New Roman" w:hAnsi="Bookman Old Style" w:cs="Times New Roman"/>
          <w:lang w:eastAsia="en-IN"/>
        </w:rPr>
        <w:t xml:space="preserve"> The Commission may take note that tuition fee</w:t>
      </w:r>
      <w:r w:rsidR="00F93E18">
        <w:rPr>
          <w:rFonts w:ascii="Bookman Old Style" w:eastAsia="Times New Roman" w:hAnsi="Bookman Old Style" w:cs="Times New Roman"/>
          <w:lang w:eastAsia="en-IN"/>
        </w:rPr>
        <w:t xml:space="preserve"> and hostel accommodation charges</w:t>
      </w:r>
      <w:r w:rsidR="00A51782">
        <w:rPr>
          <w:rFonts w:ascii="Bookman Old Style" w:eastAsia="Times New Roman" w:hAnsi="Bookman Old Style" w:cs="Times New Roman"/>
          <w:lang w:eastAsia="en-IN"/>
        </w:rPr>
        <w:t xml:space="preserve"> for </w:t>
      </w:r>
      <w:r w:rsidR="00F93E18">
        <w:rPr>
          <w:rFonts w:ascii="Bookman Old Style" w:eastAsia="Times New Roman" w:hAnsi="Bookman Old Style" w:cs="Times New Roman"/>
          <w:lang w:eastAsia="en-IN"/>
        </w:rPr>
        <w:t xml:space="preserve">completing </w:t>
      </w:r>
      <w:r w:rsidR="00A60971">
        <w:rPr>
          <w:rFonts w:ascii="Bookman Old Style" w:eastAsia="Times New Roman" w:hAnsi="Bookman Old Style" w:cs="Times New Roman"/>
          <w:lang w:eastAsia="en-IN"/>
        </w:rPr>
        <w:t>UG degre</w:t>
      </w:r>
      <w:r w:rsidR="00D45D68">
        <w:rPr>
          <w:rFonts w:ascii="Bookman Old Style" w:eastAsia="Times New Roman" w:hAnsi="Bookman Old Style" w:cs="Times New Roman"/>
          <w:lang w:eastAsia="en-IN"/>
        </w:rPr>
        <w:t xml:space="preserve">e in NIT/IIT is around 12 lakhs. </w:t>
      </w:r>
    </w:p>
    <w:p w:rsidR="00937498" w:rsidRDefault="00B2398E" w:rsidP="0093749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It is therefore proposed that CEA be expanded to include reimbursement of coaching expenses for recognized academic and en</w:t>
      </w:r>
      <w:r w:rsidR="0067101A" w:rsidRPr="00736260">
        <w:rPr>
          <w:rFonts w:ascii="Bookman Old Style" w:eastAsia="Times New Roman" w:hAnsi="Bookman Old Style" w:cs="Times New Roman"/>
          <w:lang w:eastAsia="en-IN"/>
        </w:rPr>
        <w:t xml:space="preserve">trance examination preparation </w:t>
      </w:r>
      <w:r w:rsidRPr="00736260">
        <w:rPr>
          <w:rFonts w:ascii="Bookman Old Style" w:eastAsia="Times New Roman" w:hAnsi="Bookman Old Style" w:cs="Times New Roman"/>
          <w:lang w:eastAsia="en-IN"/>
        </w:rPr>
        <w:t>along with provision of Hostel Allowance for children studying away from the place of posting</w:t>
      </w:r>
      <w:r w:rsidR="00B95ACD">
        <w:rPr>
          <w:rFonts w:ascii="Bookman Old Style" w:eastAsia="Times New Roman" w:hAnsi="Bookman Old Style" w:cs="Times New Roman"/>
          <w:lang w:eastAsia="en-IN"/>
        </w:rPr>
        <w:t xml:space="preserve"> and CEA may be extended </w:t>
      </w:r>
      <w:proofErr w:type="spellStart"/>
      <w:r w:rsidR="00B95ACD">
        <w:rPr>
          <w:rFonts w:ascii="Bookman Old Style" w:eastAsia="Times New Roman" w:hAnsi="Bookman Old Style" w:cs="Times New Roman"/>
          <w:lang w:eastAsia="en-IN"/>
        </w:rPr>
        <w:t>upto</w:t>
      </w:r>
      <w:proofErr w:type="spellEnd"/>
      <w:r w:rsidR="00B95ACD">
        <w:rPr>
          <w:rFonts w:ascii="Bookman Old Style" w:eastAsia="Times New Roman" w:hAnsi="Bookman Old Style" w:cs="Times New Roman"/>
          <w:lang w:eastAsia="en-IN"/>
        </w:rPr>
        <w:t xml:space="preserve"> P</w:t>
      </w:r>
      <w:r w:rsidR="00D45D68">
        <w:rPr>
          <w:rFonts w:ascii="Bookman Old Style" w:eastAsia="Times New Roman" w:hAnsi="Bookman Old Style" w:cs="Times New Roman"/>
          <w:lang w:eastAsia="en-IN"/>
        </w:rPr>
        <w:t>G Course completion</w:t>
      </w:r>
      <w:r w:rsidR="00937498">
        <w:rPr>
          <w:rFonts w:ascii="Bookman Old Style" w:eastAsia="Times New Roman" w:hAnsi="Bookman Old Style" w:cs="Times New Roman"/>
          <w:lang w:eastAsia="en-IN"/>
        </w:rPr>
        <w:t>.</w:t>
      </w:r>
    </w:p>
    <w:p w:rsidR="00937498" w:rsidRDefault="00937498" w:rsidP="00937498">
      <w:pPr>
        <w:spacing w:after="0" w:line="240" w:lineRule="auto"/>
        <w:jc w:val="both"/>
        <w:rPr>
          <w:rFonts w:ascii="Bookman Old Style" w:eastAsia="Times New Roman" w:hAnsi="Bookman Old Style" w:cs="Times New Roman"/>
          <w:lang w:eastAsia="en-IN"/>
        </w:rPr>
      </w:pPr>
    </w:p>
    <w:p w:rsidR="009B765A" w:rsidRPr="00937498" w:rsidRDefault="00904C60" w:rsidP="00937498">
      <w:pPr>
        <w:spacing w:after="0" w:line="240" w:lineRule="auto"/>
        <w:jc w:val="both"/>
        <w:rPr>
          <w:rFonts w:ascii="Bookman Old Style" w:eastAsia="Times New Roman" w:hAnsi="Bookman Old Style" w:cs="Times New Roman"/>
          <w:b/>
          <w:lang w:eastAsia="en-IN"/>
        </w:rPr>
      </w:pPr>
      <w:r w:rsidRPr="00937498">
        <w:rPr>
          <w:rFonts w:ascii="Bookman Old Style" w:hAnsi="Bookman Old Style"/>
          <w:b/>
        </w:rPr>
        <w:t>2.5. GRANT OF RISK/HARDSHIP ALLOWANCE FOR OFFICERS POSTED IN REMOTE AND HILLY AREAS</w:t>
      </w:r>
    </w:p>
    <w:p w:rsidR="009B765A" w:rsidRPr="009B765A" w:rsidRDefault="009B765A" w:rsidP="009B765A">
      <w:pPr>
        <w:pStyle w:val="NormalWeb"/>
        <w:spacing w:before="0" w:beforeAutospacing="0" w:after="0" w:afterAutospacing="0"/>
        <w:ind w:firstLine="720"/>
        <w:jc w:val="both"/>
        <w:rPr>
          <w:rFonts w:ascii="Bookman Old Style" w:hAnsi="Bookman Old Style"/>
          <w:sz w:val="22"/>
          <w:szCs w:val="22"/>
        </w:rPr>
      </w:pPr>
      <w:r w:rsidRPr="009B765A">
        <w:rPr>
          <w:rFonts w:ascii="Bookman Old Style" w:hAnsi="Bookman Old Style"/>
          <w:sz w:val="22"/>
          <w:szCs w:val="22"/>
        </w:rPr>
        <w:t xml:space="preserve">Officers of the organized accounts cadres possess all-India transfer liabilities and are frequently posted to remote locations and hill stations such as Himachal Pradesh, </w:t>
      </w:r>
      <w:proofErr w:type="spellStart"/>
      <w:r w:rsidRPr="009B765A">
        <w:rPr>
          <w:rFonts w:ascii="Bookman Old Style" w:hAnsi="Bookman Old Style"/>
          <w:sz w:val="22"/>
          <w:szCs w:val="22"/>
        </w:rPr>
        <w:t>Uttarakhand</w:t>
      </w:r>
      <w:proofErr w:type="spellEnd"/>
      <w:r w:rsidRPr="009B765A">
        <w:rPr>
          <w:rFonts w:ascii="Bookman Old Style" w:hAnsi="Bookman Old Style"/>
          <w:sz w:val="22"/>
          <w:szCs w:val="22"/>
        </w:rPr>
        <w:t xml:space="preserve">, Jammu &amp; Kashmir, and the North-Eastern region. Serving in these challenging terrains involves navigating extreme weather conditions, a significantly higher cost of living, and a severe lack of basic infrastructural amenities. Furthermore, officers posted in these regions face intense personal hardships, including prolonged family separation, inadequate medical facilities, and a dearth of quality educational institutions for their children. While nominal allowances exist under the current Tough Location matrix, they are grossly disproportionate to the actual premium paid for basic goods, travel, and housing in such topographies. To adequately compensate for these exceptionally difficult service conditions, we demand the introduction of a completely revised, comprehensive Risk and Hardship Allowance. We propose that this hard area allowance be granted at a realistic rate of at least </w:t>
      </w:r>
      <w:r w:rsidRPr="009B765A">
        <w:rPr>
          <w:rFonts w:ascii="Bookman Old Style" w:hAnsi="Bookman Old Style"/>
          <w:b/>
          <w:bCs/>
          <w:sz w:val="22"/>
          <w:szCs w:val="22"/>
        </w:rPr>
        <w:t xml:space="preserve">20% of the Basic Pay, or a minimum flat rate ranging from </w:t>
      </w:r>
      <w:r w:rsidRPr="009B765A">
        <w:rPr>
          <w:b/>
          <w:bCs/>
          <w:sz w:val="22"/>
          <w:szCs w:val="22"/>
        </w:rPr>
        <w:t>₹</w:t>
      </w:r>
      <w:r w:rsidRPr="009B765A">
        <w:rPr>
          <w:rFonts w:ascii="Bookman Old Style" w:hAnsi="Bookman Old Style"/>
          <w:b/>
          <w:bCs/>
          <w:sz w:val="22"/>
          <w:szCs w:val="22"/>
        </w:rPr>
        <w:t xml:space="preserve">15,000 to </w:t>
      </w:r>
      <w:r w:rsidRPr="009B765A">
        <w:rPr>
          <w:b/>
          <w:bCs/>
          <w:sz w:val="22"/>
          <w:szCs w:val="22"/>
        </w:rPr>
        <w:t>₹</w:t>
      </w:r>
      <w:r w:rsidRPr="009B765A">
        <w:rPr>
          <w:rFonts w:ascii="Bookman Old Style" w:hAnsi="Bookman Old Style"/>
          <w:b/>
          <w:bCs/>
          <w:sz w:val="22"/>
          <w:szCs w:val="22"/>
        </w:rPr>
        <w:t>20,000 per month</w:t>
      </w:r>
      <w:r w:rsidRPr="009B765A">
        <w:rPr>
          <w:rFonts w:ascii="Bookman Old Style" w:hAnsi="Bookman Old Style"/>
          <w:sz w:val="22"/>
          <w:szCs w:val="22"/>
        </w:rPr>
        <w:t>, depending on the severity of the location. This allowance must also be dynamically linked to prevailing inflation rates so its real value does not erode over time. Providing a robust financial incentive of this magnitude will alleviate operational difficulties and sustain a high level of morale for those deployed in strategic locations.</w:t>
      </w:r>
    </w:p>
    <w:p w:rsidR="009B765A" w:rsidRPr="009B765A" w:rsidRDefault="009B765A" w:rsidP="009B765A">
      <w:pPr>
        <w:pStyle w:val="NormalWeb"/>
        <w:spacing w:before="0" w:beforeAutospacing="0" w:after="0" w:afterAutospacing="0"/>
        <w:jc w:val="both"/>
        <w:rPr>
          <w:rFonts w:ascii="Bookman Old Style" w:hAnsi="Bookman Old Style"/>
          <w:b/>
          <w:sz w:val="22"/>
          <w:szCs w:val="22"/>
        </w:rPr>
      </w:pPr>
    </w:p>
    <w:p w:rsidR="00093C22" w:rsidRPr="00736260" w:rsidRDefault="008F0142" w:rsidP="007B558F">
      <w:pPr>
        <w:pStyle w:val="NormalWeb"/>
        <w:spacing w:before="0" w:beforeAutospacing="0" w:after="0" w:afterAutospacing="0"/>
        <w:jc w:val="both"/>
        <w:rPr>
          <w:rFonts w:ascii="Bookman Old Style" w:hAnsi="Bookman Old Style"/>
          <w:sz w:val="22"/>
          <w:szCs w:val="22"/>
        </w:rPr>
      </w:pPr>
      <w:r>
        <w:rPr>
          <w:rFonts w:ascii="Bookman Old Style" w:hAnsi="Bookman Old Style"/>
          <w:b/>
          <w:sz w:val="22"/>
          <w:szCs w:val="22"/>
        </w:rPr>
        <w:t>2.6</w:t>
      </w:r>
      <w:r w:rsidR="008B704F" w:rsidRPr="00736260">
        <w:rPr>
          <w:rFonts w:ascii="Bookman Old Style" w:hAnsi="Bookman Old Style"/>
          <w:b/>
          <w:sz w:val="22"/>
          <w:szCs w:val="22"/>
        </w:rPr>
        <w:t xml:space="preserve"> </w:t>
      </w:r>
      <w:r w:rsidR="00093C22" w:rsidRPr="00736260">
        <w:rPr>
          <w:rStyle w:val="Strong"/>
          <w:rFonts w:ascii="Bookman Old Style" w:hAnsi="Bookman Old Style"/>
          <w:sz w:val="22"/>
          <w:szCs w:val="22"/>
        </w:rPr>
        <w:t>COMPENSATORY ALLOWANCES AND REIMBURSEMENTS</w:t>
      </w:r>
      <w:r w:rsidR="003B29F8">
        <w:rPr>
          <w:rStyle w:val="Strong"/>
          <w:rFonts w:ascii="Bookman Old Style" w:hAnsi="Bookman Old Style"/>
          <w:sz w:val="22"/>
          <w:szCs w:val="22"/>
        </w:rPr>
        <w:t xml:space="preserve"> SHOULD BE </w:t>
      </w:r>
      <w:r w:rsidR="002D7632">
        <w:rPr>
          <w:rStyle w:val="Strong"/>
          <w:rFonts w:ascii="Bookman Old Style" w:hAnsi="Bookman Old Style"/>
          <w:sz w:val="22"/>
          <w:szCs w:val="22"/>
        </w:rPr>
        <w:t xml:space="preserve">CLASSIFIED AS </w:t>
      </w:r>
      <w:r w:rsidR="003B29F8">
        <w:rPr>
          <w:rStyle w:val="Strong"/>
          <w:rFonts w:ascii="Bookman Old Style" w:hAnsi="Bookman Old Style"/>
          <w:sz w:val="22"/>
          <w:szCs w:val="22"/>
        </w:rPr>
        <w:t>NON-TAXABLE INCOME:</w:t>
      </w:r>
    </w:p>
    <w:p w:rsidR="00093C22" w:rsidRPr="00736260" w:rsidRDefault="00093C22" w:rsidP="007B558F">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 xml:space="preserve">Reimbursements and allowances granted to Government servants—such as Children Education Assistance (CEA), Medical Reimbursement, Telephone/Internet reimbursement, LTC reimbursement, House Rent Allowance (HRA), Transport </w:t>
      </w:r>
      <w:r w:rsidRPr="00736260">
        <w:rPr>
          <w:rFonts w:ascii="Bookman Old Style" w:hAnsi="Bookman Old Style"/>
          <w:sz w:val="22"/>
          <w:szCs w:val="22"/>
        </w:rPr>
        <w:lastRenderedPageBreak/>
        <w:t>Allowance, and similar payments—are primarily compensatory in nature and intended to offset actual expenditure incurred due to service conditions. At present, many of these benefits are taxed beyond prescribed limits, imposing an additional financial burden despite not constituting real income or financial gain. Taxation of such allowances reduces their effective value and defeats their intended purpose of compensation.</w:t>
      </w:r>
    </w:p>
    <w:p w:rsidR="00093C22" w:rsidRPr="00736260" w:rsidRDefault="00093C22" w:rsidP="007B558F">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Expenses towards housing, education, healthcare, commuting, and official communication are essential and unavoidable, and the corresponding allowances merely reimburse these costs rather than providing any economic benefit. Treating such reimbursements as taxable income is therefore conceptually inconsistent and inequitable. In particular, taxation of education and medical-related reimbursements places an undue burden during critical and unavoidable expenditure phases.</w:t>
      </w:r>
    </w:p>
    <w:p w:rsidR="00093C22" w:rsidRPr="00736260" w:rsidRDefault="00093C22" w:rsidP="007B558F">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It is therefore proposed that all compensatory allowances and reimbursements (excluding Basic Pay and Dea</w:t>
      </w:r>
      <w:r w:rsidR="00B72B97">
        <w:rPr>
          <w:rFonts w:ascii="Bookman Old Style" w:hAnsi="Bookman Old Style"/>
          <w:sz w:val="22"/>
          <w:szCs w:val="22"/>
        </w:rPr>
        <w:t>rness Allowance) be classified as Non-Taxable Income</w:t>
      </w:r>
      <w:r w:rsidRPr="00736260">
        <w:rPr>
          <w:rFonts w:ascii="Bookman Old Style" w:hAnsi="Bookman Old Style"/>
          <w:sz w:val="22"/>
          <w:szCs w:val="22"/>
        </w:rPr>
        <w:t>. This will ensure that employees receive the full intended benefit of such provisions and prevent erosion of real income. Such a measure will enhance equity in compensation, improve financial well-being, and align taxation policy with the fundamental principle that reimbursement of expenditure should not be treated as income.</w:t>
      </w:r>
      <w:r w:rsidR="0067785A">
        <w:rPr>
          <w:rFonts w:ascii="Bookman Old Style" w:hAnsi="Bookman Old Style"/>
          <w:sz w:val="22"/>
          <w:szCs w:val="22"/>
        </w:rPr>
        <w:t xml:space="preserve"> </w:t>
      </w:r>
      <w:r w:rsidRPr="00736260">
        <w:rPr>
          <w:rFonts w:ascii="Bookman Old Style" w:hAnsi="Bookman Old Style"/>
          <w:sz w:val="22"/>
          <w:szCs w:val="22"/>
        </w:rPr>
        <w:t>The Hon’ble 8th Central Pay Commission is requested to consider this demand favourably and recommend suitable provisions</w:t>
      </w:r>
      <w:r w:rsidR="006E0795">
        <w:rPr>
          <w:rFonts w:ascii="Bookman Old Style" w:hAnsi="Bookman Old Style"/>
          <w:sz w:val="22"/>
          <w:szCs w:val="22"/>
        </w:rPr>
        <w:t xml:space="preserve"> to consider by the Government of India/Income Tax Department</w:t>
      </w:r>
      <w:r w:rsidRPr="00736260">
        <w:rPr>
          <w:rFonts w:ascii="Bookman Old Style" w:hAnsi="Bookman Old Style"/>
          <w:sz w:val="22"/>
          <w:szCs w:val="22"/>
        </w:rPr>
        <w:t>.</w:t>
      </w:r>
    </w:p>
    <w:p w:rsidR="008B704F" w:rsidRPr="00736260" w:rsidRDefault="008B704F" w:rsidP="00093C22">
      <w:pPr>
        <w:shd w:val="clear" w:color="auto" w:fill="FFFFFF"/>
        <w:spacing w:after="0" w:line="240" w:lineRule="auto"/>
        <w:jc w:val="both"/>
        <w:outlineLvl w:val="2"/>
        <w:rPr>
          <w:rFonts w:ascii="Bookman Old Style" w:eastAsia="Times New Roman" w:hAnsi="Bookman Old Style" w:cs="Arial"/>
          <w:vanish/>
          <w:lang w:eastAsia="en-IN"/>
        </w:rPr>
      </w:pPr>
      <w:r w:rsidRPr="00736260">
        <w:rPr>
          <w:rFonts w:ascii="Bookman Old Style" w:eastAsia="Times New Roman" w:hAnsi="Bookman Old Style" w:cs="Arial"/>
          <w:vanish/>
          <w:lang w:eastAsia="en-IN"/>
        </w:rPr>
        <w:t>Top of Form</w:t>
      </w:r>
    </w:p>
    <w:p w:rsidR="00CD114B" w:rsidRPr="00736260" w:rsidRDefault="00CD114B" w:rsidP="00CD1853">
      <w:pPr>
        <w:spacing w:after="0" w:line="240" w:lineRule="auto"/>
        <w:jc w:val="both"/>
        <w:rPr>
          <w:rFonts w:ascii="Bookman Old Style" w:eastAsia="Times New Roman" w:hAnsi="Bookman Old Style" w:cs="Times New Roman"/>
          <w:lang w:eastAsia="en-IN"/>
        </w:rPr>
      </w:pPr>
    </w:p>
    <w:p w:rsidR="00695349" w:rsidRDefault="00ED336A" w:rsidP="00CD1853">
      <w:pPr>
        <w:spacing w:after="0" w:line="240" w:lineRule="auto"/>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 xml:space="preserve">2.7 REMOVAL OF ANOMALLY ON HRA ADMISSIBILITY FOR </w:t>
      </w:r>
      <w:r w:rsidR="00695349">
        <w:rPr>
          <w:rFonts w:ascii="Bookman Old Style" w:eastAsia="Times New Roman" w:hAnsi="Bookman Old Style" w:cs="Times New Roman"/>
          <w:b/>
          <w:lang w:eastAsia="en-IN"/>
        </w:rPr>
        <w:t xml:space="preserve">CO-LOCATED </w:t>
      </w:r>
      <w:r>
        <w:rPr>
          <w:rFonts w:ascii="Bookman Old Style" w:eastAsia="Times New Roman" w:hAnsi="Bookman Old Style" w:cs="Times New Roman"/>
          <w:b/>
          <w:lang w:eastAsia="en-IN"/>
        </w:rPr>
        <w:t>WORKING SPOUSES</w:t>
      </w:r>
      <w:r w:rsidR="00695349">
        <w:rPr>
          <w:rFonts w:ascii="Bookman Old Style" w:eastAsia="Times New Roman" w:hAnsi="Bookman Old Style" w:cs="Times New Roman"/>
          <w:b/>
          <w:lang w:eastAsia="en-IN"/>
        </w:rPr>
        <w:t>:</w:t>
      </w:r>
    </w:p>
    <w:p w:rsidR="00796721" w:rsidRDefault="006507C6" w:rsidP="00796721">
      <w:pPr>
        <w:spacing w:after="0" w:line="240" w:lineRule="auto"/>
        <w:jc w:val="both"/>
        <w:rPr>
          <w:rFonts w:ascii="Bookman Old Style" w:eastAsia="Times New Roman" w:hAnsi="Bookman Old Style" w:cs="Times New Roman"/>
          <w:b/>
          <w:lang w:eastAsia="en-IN"/>
        </w:rPr>
      </w:pPr>
      <w:r>
        <w:rPr>
          <w:rFonts w:ascii="Bookman Old Style" w:eastAsia="Times New Roman" w:hAnsi="Bookman Old Style" w:cs="Times New Roman"/>
          <w:lang w:eastAsia="en-IN"/>
        </w:rPr>
        <w:tab/>
      </w:r>
      <w:r w:rsidR="00D5581C" w:rsidRPr="00D5581C">
        <w:rPr>
          <w:rFonts w:ascii="Bookman Old Style" w:eastAsia="Times New Roman" w:hAnsi="Bookman Old Style" w:cs="Times New Roman"/>
          <w:lang w:eastAsia="en-IN"/>
        </w:rPr>
        <w:t>In cases where both spouses are Central Government employees posted at the same station, denial of HRA to both employees upon allotment of a single Government accommodation is inequitable. HRA, being compensatory in nature, is linked to individual service conditions and not to family status. It is therefore proposed that at least one spouse be allowed to draw full HRA, or proportionate HRA be granted to both, in order to ensure fairness and maintain the compensatory character of the allowance.</w:t>
      </w:r>
      <w:r w:rsidR="00ED336A">
        <w:rPr>
          <w:rFonts w:ascii="Bookman Old Style" w:eastAsia="Times New Roman" w:hAnsi="Bookman Old Style" w:cs="Times New Roman"/>
          <w:b/>
          <w:lang w:eastAsia="en-IN"/>
        </w:rPr>
        <w:t xml:space="preserve"> </w:t>
      </w:r>
    </w:p>
    <w:p w:rsidR="00796721" w:rsidRDefault="00796721" w:rsidP="00796721">
      <w:pPr>
        <w:spacing w:after="0" w:line="240" w:lineRule="auto"/>
        <w:jc w:val="both"/>
        <w:rPr>
          <w:rFonts w:ascii="Bookman Old Style" w:eastAsia="Times New Roman" w:hAnsi="Bookman Old Style" w:cs="Times New Roman"/>
          <w:b/>
          <w:lang w:eastAsia="en-IN"/>
        </w:rPr>
      </w:pPr>
    </w:p>
    <w:p w:rsidR="00796721" w:rsidRDefault="00796721" w:rsidP="00796721">
      <w:pPr>
        <w:spacing w:after="0" w:line="240" w:lineRule="auto"/>
        <w:jc w:val="both"/>
        <w:rPr>
          <w:rFonts w:ascii="Bookman Old Style" w:eastAsia="Times New Roman" w:hAnsi="Bookman Old Style" w:cs="Times New Roman"/>
          <w:b/>
          <w:lang w:eastAsia="en-IN"/>
        </w:rPr>
      </w:pPr>
    </w:p>
    <w:p w:rsidR="00796721" w:rsidRDefault="00796721" w:rsidP="00796721">
      <w:pPr>
        <w:spacing w:after="0" w:line="240" w:lineRule="auto"/>
        <w:jc w:val="both"/>
        <w:rPr>
          <w:rFonts w:ascii="Bookman Old Style" w:eastAsia="Times New Roman" w:hAnsi="Bookman Old Style" w:cs="Times New Roman"/>
          <w:b/>
          <w:lang w:eastAsia="en-IN"/>
        </w:rPr>
      </w:pPr>
    </w:p>
    <w:p w:rsidR="00C45DB9" w:rsidRPr="00796721" w:rsidRDefault="00C45DB9" w:rsidP="00796721">
      <w:pPr>
        <w:spacing w:after="0" w:line="240" w:lineRule="auto"/>
        <w:jc w:val="both"/>
        <w:rPr>
          <w:rFonts w:ascii="Bookman Old Style" w:eastAsia="Times New Roman" w:hAnsi="Bookman Old Style" w:cs="Times New Roman"/>
          <w:b/>
          <w:lang w:eastAsia="en-IN"/>
        </w:rPr>
      </w:pPr>
      <w:r w:rsidRPr="00736260">
        <w:rPr>
          <w:rFonts w:ascii="Bookman Old Style" w:eastAsia="Times New Roman" w:hAnsi="Bookman Old Style" w:cs="Arial"/>
          <w:b/>
          <w:bCs/>
          <w:color w:val="333333"/>
          <w:highlight w:val="yellow"/>
          <w:lang w:eastAsia="en-IN"/>
        </w:rPr>
        <w:t>Advances</w:t>
      </w:r>
    </w:p>
    <w:p w:rsidR="00E41A59" w:rsidRPr="00C14FD8" w:rsidRDefault="00C45DB9" w:rsidP="00E41A59">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Q3. What concerns / views do you face related to Advances?</w:t>
      </w:r>
      <w:r w:rsidR="006376BC">
        <w:rPr>
          <w:rFonts w:ascii="Bookman Old Style" w:eastAsia="Times New Roman" w:hAnsi="Bookman Old Style" w:cs="Arial"/>
          <w:b/>
          <w:bCs/>
          <w:color w:val="333333"/>
          <w:lang w:eastAsia="en-IN"/>
        </w:rPr>
        <w:t xml:space="preserve"> </w:t>
      </w:r>
      <w:r w:rsidR="00B304A1">
        <w:rPr>
          <w:rFonts w:ascii="Bookman Old Style" w:eastAsia="Times New Roman" w:hAnsi="Bookman Old Style" w:cs="Arial"/>
          <w:b/>
          <w:bCs/>
          <w:color w:val="333333"/>
          <w:lang w:eastAsia="en-IN"/>
        </w:rPr>
        <w:t xml:space="preserve"> </w:t>
      </w:r>
      <w:r w:rsidR="002A42E9">
        <w:rPr>
          <w:rFonts w:ascii="Bookman Old Style" w:eastAsia="Times New Roman" w:hAnsi="Bookman Old Style" w:cs="Arial"/>
          <w:b/>
          <w:bCs/>
          <w:color w:val="333333"/>
          <w:lang w:eastAsia="en-IN"/>
        </w:rPr>
        <w:t>(3687 Characters)</w:t>
      </w:r>
    </w:p>
    <w:p w:rsidR="00E84A36" w:rsidRPr="00C14FD8" w:rsidRDefault="00E84A36" w:rsidP="00E84A36">
      <w:pPr>
        <w:shd w:val="clear" w:color="auto" w:fill="FFFFFF"/>
        <w:spacing w:after="0" w:line="240" w:lineRule="auto"/>
        <w:jc w:val="both"/>
        <w:rPr>
          <w:rFonts w:ascii="Bookman Old Style" w:eastAsia="Times New Roman" w:hAnsi="Bookman Old Style" w:cs="Arial"/>
          <w:b/>
          <w:bCs/>
          <w:color w:val="333333"/>
          <w:sz w:val="32"/>
          <w:lang w:eastAsia="en-IN"/>
        </w:rPr>
      </w:pPr>
    </w:p>
    <w:p w:rsidR="00CE4711" w:rsidRPr="00736260" w:rsidRDefault="007C2288" w:rsidP="00E14EE4">
      <w:pPr>
        <w:pStyle w:val="NormalWeb"/>
        <w:spacing w:before="0" w:beforeAutospacing="0" w:after="0" w:afterAutospacing="0"/>
        <w:jc w:val="both"/>
        <w:rPr>
          <w:rFonts w:ascii="Bookman Old Style" w:hAnsi="Bookman Old Style"/>
          <w:b/>
          <w:sz w:val="22"/>
          <w:szCs w:val="22"/>
        </w:rPr>
      </w:pPr>
      <w:r w:rsidRPr="00736260">
        <w:rPr>
          <w:rFonts w:ascii="Bookman Old Style" w:hAnsi="Bookman Old Style"/>
          <w:b/>
          <w:sz w:val="22"/>
          <w:szCs w:val="22"/>
        </w:rPr>
        <w:t>3.</w:t>
      </w:r>
      <w:r w:rsidR="00F04860">
        <w:rPr>
          <w:rFonts w:ascii="Bookman Old Style" w:hAnsi="Bookman Old Style"/>
          <w:b/>
          <w:sz w:val="22"/>
          <w:szCs w:val="22"/>
        </w:rPr>
        <w:t>1</w:t>
      </w:r>
      <w:r w:rsidR="00CE4711" w:rsidRPr="00736260">
        <w:rPr>
          <w:rFonts w:ascii="Bookman Old Style" w:hAnsi="Bookman Old Style"/>
          <w:b/>
          <w:sz w:val="22"/>
          <w:szCs w:val="22"/>
        </w:rPr>
        <w:t xml:space="preserve"> DEMAND FOR UPWARD REVISION OF HOUSE BUILDING ADVANCE (HBA) LIMITS AND ENHANCEMENT OF THE COST CEILING FOR RESIDENTIAL UNITS.</w:t>
      </w:r>
    </w:p>
    <w:p w:rsidR="0094657D" w:rsidRPr="00736260" w:rsidRDefault="0094657D" w:rsidP="0094657D">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House Building Advance (HBA) is a key welfare measure that enables Central Government employees to own a house, but its current limits based on 2016 prices are no longer adequate. Over the past decade, housing prices and construction costs have risen sharply, with property values in major cities increasing by 60–100%.  </w:t>
      </w:r>
    </w:p>
    <w:p w:rsidR="0094657D" w:rsidRPr="00736260" w:rsidRDefault="0094657D" w:rsidP="0094657D">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As a result, the existing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25 lakh HBA covers only a fraction of the cost of a modest house. For example, acquiring land and constructing even a basic 1BHK residence on a small 80 to 85 square meter plot</w:t>
      </w:r>
      <w:r w:rsidRPr="00736260">
        <w:rPr>
          <w:rFonts w:ascii="Bookman Old Style" w:eastAsia="Times New Roman" w:hAnsi="Bookman Old Style" w:cs="Bookman Old Style"/>
          <w:lang w:eastAsia="en-IN"/>
        </w:rPr>
        <w:t>—</w:t>
      </w:r>
      <w:r w:rsidRPr="00736260">
        <w:rPr>
          <w:rFonts w:ascii="Bookman Old Style" w:eastAsia="Times New Roman" w:hAnsi="Bookman Old Style" w:cs="Times New Roman"/>
          <w:lang w:eastAsia="en-IN"/>
        </w:rPr>
        <w:t xml:space="preserve">allowing for standard structural requirements, </w:t>
      </w:r>
      <w:proofErr w:type="spellStart"/>
      <w:r w:rsidRPr="00736260">
        <w:rPr>
          <w:rFonts w:ascii="Bookman Old Style" w:eastAsia="Times New Roman" w:hAnsi="Bookman Old Style" w:cs="Times New Roman"/>
          <w:lang w:eastAsia="en-IN"/>
        </w:rPr>
        <w:t>Vastu</w:t>
      </w:r>
      <w:proofErr w:type="spellEnd"/>
      <w:r w:rsidRPr="00736260">
        <w:rPr>
          <w:rFonts w:ascii="Bookman Old Style" w:eastAsia="Times New Roman" w:hAnsi="Bookman Old Style" w:cs="Times New Roman"/>
          <w:lang w:eastAsia="en-IN"/>
        </w:rPr>
        <w:t xml:space="preserve"> compliance, and minimal open space—in any major Tier-1 or Tier-2 city today involves costs that completely exhaust the legacy advance limits. Employees are therefore compelled to take additional loans from banks at higher interest rates, defeating the purpose of a subsidized government advance. The current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1 crore cost ceiling is also unrealistic, as most urban housing now exceeds this limit.</w:t>
      </w:r>
    </w:p>
    <w:p w:rsidR="000F010D" w:rsidRPr="00736260" w:rsidRDefault="000F010D" w:rsidP="0094657D">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lastRenderedPageBreak/>
        <w:t xml:space="preserve">To address this, it is proposed to increase the maximum HBA limit to </w:t>
      </w:r>
      <w:r w:rsidRPr="00736260">
        <w:rPr>
          <w:rFonts w:ascii="Times New Roman" w:eastAsia="Times New Roman" w:hAnsi="Times New Roman" w:cs="Times New Roman"/>
          <w:lang w:eastAsia="en-IN"/>
        </w:rPr>
        <w:t>₹</w:t>
      </w:r>
      <w:r w:rsidR="00FC4502" w:rsidRPr="00736260">
        <w:rPr>
          <w:rFonts w:ascii="Bookman Old Style" w:eastAsia="Times New Roman" w:hAnsi="Bookman Old Style" w:cs="Times New Roman"/>
          <w:lang w:eastAsia="en-IN"/>
        </w:rPr>
        <w:t>75</w:t>
      </w:r>
      <w:r w:rsidRPr="00736260">
        <w:rPr>
          <w:rFonts w:ascii="Bookman Old Style" w:eastAsia="Times New Roman" w:hAnsi="Bookman Old Style" w:cs="Times New Roman"/>
          <w:lang w:eastAsia="en-IN"/>
        </w:rPr>
        <w:t xml:space="preserve"> lakh </w:t>
      </w:r>
      <w:r w:rsidR="00E14EE4" w:rsidRPr="00736260">
        <w:rPr>
          <w:rFonts w:ascii="Bookman Old Style" w:eastAsia="Times New Roman" w:hAnsi="Bookman Old Style" w:cs="Times New Roman"/>
          <w:lang w:eastAsia="en-IN"/>
        </w:rPr>
        <w:t xml:space="preserve">and </w:t>
      </w:r>
      <w:r w:rsidR="00FC4502" w:rsidRPr="00736260">
        <w:rPr>
          <w:rFonts w:ascii="Bookman Old Style" w:eastAsia="Times New Roman" w:hAnsi="Bookman Old Style" w:cs="Times New Roman"/>
          <w:lang w:eastAsia="en-IN"/>
        </w:rPr>
        <w:t>50</w:t>
      </w:r>
      <w:r w:rsidRPr="00736260">
        <w:rPr>
          <w:rFonts w:ascii="Bookman Old Style" w:eastAsia="Times New Roman" w:hAnsi="Bookman Old Style" w:cs="Times New Roman"/>
          <w:lang w:eastAsia="en-IN"/>
        </w:rPr>
        <w:t xml:space="preserve"> months</w:t>
      </w:r>
      <w:r w:rsidRPr="00736260">
        <w:rPr>
          <w:rFonts w:ascii="Bookman Old Style" w:eastAsia="Times New Roman" w:hAnsi="Bookman Old Style" w:cs="Bookman Old Style"/>
          <w:lang w:eastAsia="en-IN"/>
        </w:rPr>
        <w:t>’</w:t>
      </w:r>
      <w:r w:rsidRPr="00736260">
        <w:rPr>
          <w:rFonts w:ascii="Bookman Old Style" w:eastAsia="Times New Roman" w:hAnsi="Bookman Old Style" w:cs="Times New Roman"/>
          <w:lang w:eastAsia="en-IN"/>
        </w:rPr>
        <w:t xml:space="preserve"> basic pay condition. The cost ceiling should be enhanced to </w:t>
      </w:r>
      <w:r w:rsidRPr="00736260">
        <w:rPr>
          <w:rFonts w:ascii="Times New Roman" w:eastAsia="Times New Roman" w:hAnsi="Times New Roman" w:cs="Times New Roman"/>
          <w:lang w:eastAsia="en-IN"/>
        </w:rPr>
        <w:t>₹</w:t>
      </w:r>
      <w:r w:rsidR="00836075" w:rsidRPr="00736260">
        <w:rPr>
          <w:rFonts w:ascii="Bookman Old Style" w:eastAsia="Times New Roman" w:hAnsi="Bookman Old Style" w:cs="Times New Roman"/>
          <w:lang w:eastAsia="en-IN"/>
        </w:rPr>
        <w:t>3</w:t>
      </w:r>
      <w:r w:rsidRPr="00736260">
        <w:rPr>
          <w:rFonts w:ascii="Bookman Old Style" w:eastAsia="Times New Roman" w:hAnsi="Bookman Old Style" w:cs="Times New Roman"/>
          <w:lang w:eastAsia="en-IN"/>
        </w:rPr>
        <w:t xml:space="preserve"> </w:t>
      </w:r>
      <w:proofErr w:type="gramStart"/>
      <w:r w:rsidRPr="00736260">
        <w:rPr>
          <w:rFonts w:ascii="Bookman Old Style" w:eastAsia="Times New Roman" w:hAnsi="Bookman Old Style" w:cs="Times New Roman"/>
          <w:lang w:eastAsia="en-IN"/>
        </w:rPr>
        <w:t>crore</w:t>
      </w:r>
      <w:proofErr w:type="gramEnd"/>
      <w:r w:rsidRPr="00736260">
        <w:rPr>
          <w:rFonts w:ascii="Bookman Old Style" w:eastAsia="Times New Roman" w:hAnsi="Bookman Old Style" w:cs="Times New Roman"/>
          <w:lang w:eastAsia="en-IN"/>
        </w:rPr>
        <w:t xml:space="preserve">, with provision for further relaxation in deserving cases. The limit for expansion or addition should also be </w:t>
      </w:r>
      <w:r w:rsidR="00836075" w:rsidRPr="00736260">
        <w:rPr>
          <w:rFonts w:ascii="Bookman Old Style" w:eastAsia="Times New Roman" w:hAnsi="Bookman Old Style" w:cs="Times New Roman"/>
          <w:lang w:eastAsia="en-IN"/>
        </w:rPr>
        <w:t>increased</w:t>
      </w:r>
      <w:r w:rsidRPr="00736260">
        <w:rPr>
          <w:rFonts w:ascii="Bookman Old Style" w:eastAsia="Times New Roman" w:hAnsi="Bookman Old Style" w:cs="Times New Roman"/>
          <w:lang w:eastAsia="en-IN"/>
        </w:rPr>
        <w:t xml:space="preserve"> to </w:t>
      </w:r>
      <w:r w:rsidRPr="00736260">
        <w:rPr>
          <w:rFonts w:ascii="Times New Roman" w:eastAsia="Times New Roman" w:hAnsi="Times New Roman" w:cs="Times New Roman"/>
          <w:lang w:eastAsia="en-IN"/>
        </w:rPr>
        <w:t>₹</w:t>
      </w:r>
      <w:r w:rsidR="00836075" w:rsidRPr="00736260">
        <w:rPr>
          <w:rFonts w:ascii="Bookman Old Style" w:eastAsia="Times New Roman" w:hAnsi="Bookman Old Style" w:cs="Times New Roman"/>
          <w:lang w:eastAsia="en-IN"/>
        </w:rPr>
        <w:t>30</w:t>
      </w:r>
      <w:r w:rsidRPr="00736260">
        <w:rPr>
          <w:rFonts w:ascii="Bookman Old Style" w:eastAsia="Times New Roman" w:hAnsi="Bookman Old Style" w:cs="Times New Roman"/>
          <w:lang w:eastAsia="en-IN"/>
        </w:rPr>
        <w:t xml:space="preserve"> </w:t>
      </w:r>
      <w:proofErr w:type="gramStart"/>
      <w:r w:rsidRPr="00736260">
        <w:rPr>
          <w:rFonts w:ascii="Bookman Old Style" w:eastAsia="Times New Roman" w:hAnsi="Bookman Old Style" w:cs="Times New Roman"/>
          <w:lang w:eastAsia="en-IN"/>
        </w:rPr>
        <w:t>lakh</w:t>
      </w:r>
      <w:proofErr w:type="gramEnd"/>
      <w:r w:rsidRPr="00736260">
        <w:rPr>
          <w:rFonts w:ascii="Bookman Old Style" w:eastAsia="Times New Roman" w:hAnsi="Bookman Old Style" w:cs="Times New Roman"/>
          <w:lang w:eastAsia="en-IN"/>
        </w:rPr>
        <w:t>.</w:t>
      </w:r>
      <w:r w:rsidR="00E14EE4" w:rsidRPr="00736260">
        <w:rPr>
          <w:rFonts w:ascii="Bookman Old Style" w:eastAsia="Times New Roman" w:hAnsi="Bookman Old Style" w:cs="Times New Roman"/>
          <w:lang w:eastAsia="en-IN"/>
        </w:rPr>
        <w:t xml:space="preserve"> </w:t>
      </w:r>
      <w:r w:rsidRPr="00736260">
        <w:rPr>
          <w:rFonts w:ascii="Bookman Old Style" w:eastAsia="Times New Roman" w:hAnsi="Bookman Old Style" w:cs="Times New Roman"/>
          <w:lang w:eastAsia="en-IN"/>
        </w:rPr>
        <w:t>Additionally, the HBA interest rate should be maintained at least 2% below prevailing home loan rates of State Bank of India to ensure it remains a genuine welfare measure. The process for obtaining NOC or second charge for top-up loans should be simplified and digitized.</w:t>
      </w:r>
    </w:p>
    <w:p w:rsidR="000F010D" w:rsidRPr="00736260" w:rsidRDefault="000F010D" w:rsidP="004B440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Since HBA is a self-liquidating advance recovered with interest, increasing its limit does not burden the exchequer. Instead, it promotes housing investment, stimulates economic activity, and supports the goal of “Housing for All.” Therefore, doubling the HBA limit and revising cost ceilings is essential to reflect current realities and ensure dignified living for employees.</w:t>
      </w:r>
    </w:p>
    <w:p w:rsidR="00937498" w:rsidRDefault="004B4408" w:rsidP="0093749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To prevent HBA limits from becoming functionally obsolete before the constitution of the next Pay Commission, an automatic indexation mechanism must be introduced. The HBA advance limits and cost ceilings should automatically increase by 25% whenever the Dearness Allowance (DA) crosses 25%, akin to the standard inflation-proofing app</w:t>
      </w:r>
      <w:r w:rsidR="00937498">
        <w:rPr>
          <w:rFonts w:ascii="Bookman Old Style" w:eastAsia="Times New Roman" w:hAnsi="Bookman Old Style" w:cs="Times New Roman"/>
          <w:lang w:eastAsia="en-IN"/>
        </w:rPr>
        <w:t>lied to other major allowances.</w:t>
      </w:r>
    </w:p>
    <w:p w:rsidR="00937498" w:rsidRDefault="00937498" w:rsidP="00937498">
      <w:pPr>
        <w:spacing w:after="0" w:line="240" w:lineRule="auto"/>
        <w:jc w:val="both"/>
        <w:rPr>
          <w:rFonts w:ascii="Bookman Old Style" w:eastAsia="Times New Roman" w:hAnsi="Bookman Old Style" w:cs="Times New Roman"/>
          <w:lang w:eastAsia="en-IN"/>
        </w:rPr>
      </w:pPr>
    </w:p>
    <w:p w:rsidR="00D06ADF" w:rsidRDefault="004B4A6E" w:rsidP="00D06ADF">
      <w:pPr>
        <w:spacing w:after="0" w:line="240" w:lineRule="auto"/>
        <w:jc w:val="both"/>
        <w:rPr>
          <w:rFonts w:ascii="Bookman Old Style" w:hAnsi="Bookman Old Style"/>
          <w:b/>
        </w:rPr>
      </w:pPr>
      <w:r w:rsidRPr="00D06ADF">
        <w:rPr>
          <w:rFonts w:ascii="Bookman Old Style" w:hAnsi="Bookman Old Style"/>
          <w:b/>
        </w:rPr>
        <w:t>3.2. RESTORATION OF MOTOR CAR AND MOTOR CYCLE AD</w:t>
      </w:r>
      <w:r w:rsidR="00806C0C" w:rsidRPr="00D06ADF">
        <w:rPr>
          <w:rFonts w:ascii="Bookman Old Style" w:hAnsi="Bookman Old Style"/>
          <w:b/>
        </w:rPr>
        <w:t>V</w:t>
      </w:r>
      <w:r w:rsidRPr="00D06ADF">
        <w:rPr>
          <w:rFonts w:ascii="Bookman Old Style" w:hAnsi="Bookman Old Style"/>
          <w:b/>
        </w:rPr>
        <w:t>ANCES:</w:t>
      </w:r>
    </w:p>
    <w:p w:rsidR="00EE0009" w:rsidRDefault="004B4A6E" w:rsidP="00EE0009">
      <w:pPr>
        <w:spacing w:after="0" w:line="240" w:lineRule="auto"/>
        <w:ind w:firstLine="720"/>
        <w:jc w:val="both"/>
        <w:rPr>
          <w:rFonts w:ascii="Bookman Old Style" w:eastAsia="Times New Roman" w:hAnsi="Bookman Old Style" w:cs="Times New Roman"/>
          <w:lang w:eastAsia="en-IN"/>
        </w:rPr>
      </w:pPr>
      <w:r w:rsidRPr="00D06ADF">
        <w:rPr>
          <w:rFonts w:ascii="Bookman Old Style" w:hAnsi="Bookman Old Style"/>
        </w:rPr>
        <w:t xml:space="preserve">The facility of Motor Car and Motor Cycle advances was historically a vital welfare measure, enabling government employees to acquire personal vehicles for commuting and familial needs. Following the recommendations of </w:t>
      </w:r>
      <w:r w:rsidR="00CC5563" w:rsidRPr="00D06ADF">
        <w:rPr>
          <w:rFonts w:ascii="Bookman Old Style" w:hAnsi="Bookman Old Style"/>
        </w:rPr>
        <w:t>7</w:t>
      </w:r>
      <w:r w:rsidR="00815BAA" w:rsidRPr="00D06ADF">
        <w:rPr>
          <w:rFonts w:ascii="Bookman Old Style" w:hAnsi="Bookman Old Style"/>
        </w:rPr>
        <w:t>th</w:t>
      </w:r>
      <w:r w:rsidRPr="00D06ADF">
        <w:rPr>
          <w:rFonts w:ascii="Bookman Old Style" w:hAnsi="Bookman Old Style"/>
        </w:rPr>
        <w:t xml:space="preserve"> </w:t>
      </w:r>
      <w:r w:rsidR="00815BAA" w:rsidRPr="00D06ADF">
        <w:rPr>
          <w:rFonts w:ascii="Bookman Old Style" w:hAnsi="Bookman Old Style"/>
        </w:rPr>
        <w:t>CPC</w:t>
      </w:r>
      <w:r w:rsidRPr="00D06ADF">
        <w:rPr>
          <w:rFonts w:ascii="Bookman Old Style" w:hAnsi="Bookman Old Style"/>
        </w:rPr>
        <w:t>, these advances were abruptly discontinued, compelling employees to rely on commercial bank loans burdened with exorbitant interest rates. In today’s era of rapid urbanization, reliable personal transportation has transitioned from a luxury to an absolute necessity, especially given the continuous expansion of city limits and unpredictable public transit networks. The withdrawal of this government-sponsored advance has placed an undue financial strain on the staff, particularly younger employees and those in lower pay matrices. We strongly urge the 8th CPC to recommend the immediate restoration of the Motor Car and Motor Cycle/Scooter advances at a nominal, subsidized rate of interest. Furthermore, the quantum of the advance should be realistically revised upward to reflect the current market prices of automobiles. Restoring this benefit will significantly enhance the welfare, efficiency, and morale of the workforce without placing an unreasonable fiscal strain on the exchequer.</w:t>
      </w:r>
    </w:p>
    <w:p w:rsidR="00EE0009" w:rsidRDefault="00EE0009" w:rsidP="00EE0009">
      <w:pPr>
        <w:spacing w:after="0" w:line="240" w:lineRule="auto"/>
        <w:jc w:val="both"/>
        <w:rPr>
          <w:rFonts w:ascii="Bookman Old Style" w:eastAsia="Times New Roman" w:hAnsi="Bookman Old Style" w:cs="Times New Roman"/>
          <w:lang w:eastAsia="en-IN"/>
        </w:rPr>
      </w:pPr>
    </w:p>
    <w:p w:rsidR="00C45DB9" w:rsidRPr="00F36AD8" w:rsidRDefault="00EE0009" w:rsidP="00EE0009">
      <w:pPr>
        <w:spacing w:after="0" w:line="240" w:lineRule="auto"/>
        <w:jc w:val="both"/>
        <w:rPr>
          <w:rFonts w:ascii="Bookman Old Style" w:eastAsia="Times New Roman" w:hAnsi="Bookman Old Style" w:cs="Times New Roman"/>
          <w:b/>
          <w:lang w:eastAsia="en-IN"/>
        </w:rPr>
      </w:pPr>
      <w:r w:rsidRPr="00F36AD8">
        <w:rPr>
          <w:rFonts w:ascii="Bookman Old Style" w:eastAsia="Times New Roman" w:hAnsi="Bookman Old Style" w:cs="Times New Roman"/>
          <w:b/>
          <w:highlight w:val="yellow"/>
          <w:lang w:eastAsia="en-IN"/>
        </w:rPr>
        <w:t>4-</w:t>
      </w:r>
      <w:r w:rsidR="00C45DB9" w:rsidRPr="00F36AD8">
        <w:rPr>
          <w:rFonts w:ascii="Bookman Old Style" w:eastAsia="Times New Roman" w:hAnsi="Bookman Old Style" w:cs="Arial"/>
          <w:b/>
          <w:bCs/>
          <w:color w:val="333333"/>
          <w:highlight w:val="yellow"/>
          <w:lang w:eastAsia="en-IN"/>
        </w:rPr>
        <w:t>Facilities</w:t>
      </w:r>
    </w:p>
    <w:p w:rsidR="00B07446" w:rsidRPr="00C14FD8" w:rsidRDefault="00C45DB9" w:rsidP="00B07446">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Q4. What concerns / views do you face related to Facilities?</w:t>
      </w:r>
      <w:r w:rsidR="006376BC">
        <w:rPr>
          <w:rFonts w:ascii="Bookman Old Style" w:eastAsia="Times New Roman" w:hAnsi="Bookman Old Style" w:cs="Arial"/>
          <w:b/>
          <w:bCs/>
          <w:color w:val="333333"/>
          <w:lang w:eastAsia="en-IN"/>
        </w:rPr>
        <w:t xml:space="preserve"> </w:t>
      </w:r>
      <w:r w:rsidR="00B304A1">
        <w:rPr>
          <w:rFonts w:ascii="Bookman Old Style" w:eastAsia="Times New Roman" w:hAnsi="Bookman Old Style" w:cs="Arial"/>
          <w:b/>
          <w:bCs/>
          <w:color w:val="333333"/>
          <w:lang w:eastAsia="en-IN"/>
        </w:rPr>
        <w:t xml:space="preserve"> </w:t>
      </w:r>
      <w:r w:rsidR="00C64019">
        <w:rPr>
          <w:rFonts w:ascii="Bookman Old Style" w:eastAsia="Times New Roman" w:hAnsi="Bookman Old Style" w:cs="Arial"/>
          <w:b/>
          <w:bCs/>
          <w:color w:val="333333"/>
          <w:lang w:eastAsia="en-IN"/>
        </w:rPr>
        <w:t>(13034 Characters)</w:t>
      </w:r>
    </w:p>
    <w:p w:rsidR="007D5146" w:rsidRDefault="007D5146" w:rsidP="00327BF4">
      <w:pPr>
        <w:shd w:val="clear" w:color="auto" w:fill="FFFFFF"/>
        <w:spacing w:after="0" w:line="240" w:lineRule="auto"/>
        <w:jc w:val="both"/>
        <w:rPr>
          <w:rFonts w:ascii="Bookman Old Style" w:eastAsia="Times New Roman" w:hAnsi="Bookman Old Style" w:cs="Arial"/>
          <w:bCs/>
          <w:color w:val="333333"/>
          <w:lang w:eastAsia="en-IN"/>
        </w:rPr>
      </w:pPr>
    </w:p>
    <w:p w:rsidR="00BA44CC" w:rsidRPr="00327BF4" w:rsidRDefault="00BA44CC" w:rsidP="00327BF4">
      <w:pPr>
        <w:shd w:val="clear" w:color="auto" w:fill="FFFFFF"/>
        <w:spacing w:after="0" w:line="240" w:lineRule="auto"/>
        <w:jc w:val="both"/>
        <w:rPr>
          <w:rFonts w:ascii="Bookman Old Style" w:eastAsia="Times New Roman" w:hAnsi="Bookman Old Style" w:cs="Arial"/>
          <w:bCs/>
          <w:color w:val="333333"/>
          <w:lang w:eastAsia="en-IN"/>
        </w:rPr>
      </w:pPr>
      <w:r w:rsidRPr="00327BF4">
        <w:rPr>
          <w:rFonts w:ascii="Bookman Old Style" w:eastAsia="Times New Roman" w:hAnsi="Bookman Old Style" w:cs="Arial"/>
          <w:bCs/>
          <w:color w:val="333333"/>
          <w:lang w:eastAsia="en-IN"/>
        </w:rPr>
        <w:tab/>
        <w:t xml:space="preserve">Before going forward on our Association’s demands on requirement of various facilities, </w:t>
      </w:r>
      <w:proofErr w:type="gramStart"/>
      <w:r w:rsidRPr="00327BF4">
        <w:rPr>
          <w:rFonts w:ascii="Bookman Old Style" w:eastAsia="Times New Roman" w:hAnsi="Bookman Old Style" w:cs="Arial"/>
          <w:bCs/>
          <w:color w:val="333333"/>
          <w:lang w:eastAsia="en-IN"/>
        </w:rPr>
        <w:t>We</w:t>
      </w:r>
      <w:proofErr w:type="gramEnd"/>
      <w:r w:rsidRPr="00327BF4">
        <w:rPr>
          <w:rFonts w:ascii="Bookman Old Style" w:eastAsia="Times New Roman" w:hAnsi="Bookman Old Style" w:cs="Arial"/>
          <w:bCs/>
          <w:color w:val="333333"/>
          <w:lang w:eastAsia="en-IN"/>
        </w:rPr>
        <w:t xml:space="preserve"> wish to state that we are in agreement with </w:t>
      </w:r>
      <w:r w:rsidR="00A3589D" w:rsidRPr="00327BF4">
        <w:rPr>
          <w:rFonts w:ascii="Bookman Old Style" w:eastAsia="Times New Roman" w:hAnsi="Bookman Old Style" w:cs="Arial"/>
          <w:bCs/>
          <w:color w:val="333333"/>
          <w:lang w:eastAsia="en-IN"/>
        </w:rPr>
        <w:t>JCM’s demands on the following.</w:t>
      </w:r>
    </w:p>
    <w:p w:rsidR="00A3589D" w:rsidRPr="00327BF4" w:rsidRDefault="00A3589D" w:rsidP="00327BF4">
      <w:pPr>
        <w:pStyle w:val="ListParagraph"/>
        <w:numPr>
          <w:ilvl w:val="0"/>
          <w:numId w:val="40"/>
        </w:numPr>
        <w:shd w:val="clear" w:color="auto" w:fill="FFFFFF"/>
        <w:spacing w:after="0" w:line="240" w:lineRule="auto"/>
        <w:jc w:val="both"/>
        <w:rPr>
          <w:rFonts w:ascii="Bookman Old Style" w:eastAsia="Times New Roman" w:hAnsi="Bookman Old Style" w:cs="Arial"/>
          <w:color w:val="333333"/>
          <w:lang w:eastAsia="en-IN"/>
        </w:rPr>
      </w:pPr>
      <w:r w:rsidRPr="00327BF4">
        <w:rPr>
          <w:rFonts w:ascii="Bookman Old Style" w:eastAsia="Times New Roman" w:hAnsi="Bookman Old Style" w:cs="Arial"/>
          <w:color w:val="333333"/>
          <w:lang w:eastAsia="en-IN"/>
        </w:rPr>
        <w:t xml:space="preserve">Increase EL Balance at credit ceiling from 300 days to 600 days and enable EL encashment </w:t>
      </w:r>
      <w:proofErr w:type="spellStart"/>
      <w:r w:rsidRPr="00327BF4">
        <w:rPr>
          <w:rFonts w:ascii="Bookman Old Style" w:eastAsia="Times New Roman" w:hAnsi="Bookman Old Style" w:cs="Arial"/>
          <w:color w:val="333333"/>
          <w:lang w:eastAsia="en-IN"/>
        </w:rPr>
        <w:t>upto</w:t>
      </w:r>
      <w:proofErr w:type="spellEnd"/>
      <w:r w:rsidRPr="00327BF4">
        <w:rPr>
          <w:rFonts w:ascii="Bookman Old Style" w:eastAsia="Times New Roman" w:hAnsi="Bookman Old Style" w:cs="Arial"/>
          <w:color w:val="333333"/>
          <w:lang w:eastAsia="en-IN"/>
        </w:rPr>
        <w:t xml:space="preserve"> 600 days</w:t>
      </w:r>
    </w:p>
    <w:p w:rsidR="00A3589D" w:rsidRPr="00327BF4" w:rsidRDefault="00A3589D" w:rsidP="00327BF4">
      <w:pPr>
        <w:pStyle w:val="ListParagraph"/>
        <w:numPr>
          <w:ilvl w:val="0"/>
          <w:numId w:val="40"/>
        </w:numPr>
        <w:shd w:val="clear" w:color="auto" w:fill="FFFFFF"/>
        <w:spacing w:after="0" w:line="240" w:lineRule="auto"/>
        <w:jc w:val="both"/>
        <w:rPr>
          <w:rFonts w:ascii="Bookman Old Style" w:eastAsia="Times New Roman" w:hAnsi="Bookman Old Style" w:cs="Arial"/>
          <w:color w:val="333333"/>
          <w:lang w:eastAsia="en-IN"/>
        </w:rPr>
      </w:pPr>
      <w:r w:rsidRPr="00327BF4">
        <w:rPr>
          <w:rFonts w:ascii="Bookman Old Style" w:eastAsia="Times New Roman" w:hAnsi="Bookman Old Style" w:cs="Arial"/>
          <w:color w:val="333333"/>
          <w:lang w:eastAsia="en-IN"/>
        </w:rPr>
        <w:t>Grant of 100% of</w:t>
      </w:r>
      <w:r w:rsidR="00327BF4" w:rsidRPr="00327BF4">
        <w:rPr>
          <w:rFonts w:ascii="Bookman Old Style" w:eastAsia="Times New Roman" w:hAnsi="Bookman Old Style" w:cs="Arial"/>
          <w:color w:val="333333"/>
          <w:lang w:eastAsia="en-IN"/>
        </w:rPr>
        <w:t xml:space="preserve"> Fully Paid CCL for 730 days, </w:t>
      </w:r>
      <w:r w:rsidR="00327BF4" w:rsidRPr="00327BF4">
        <w:rPr>
          <w:rFonts w:ascii="Bookman Old Style" w:hAnsi="Bookman Old Style"/>
        </w:rPr>
        <w:t>and the introduction of menstrual, parent's care, and special surgery leaves</w:t>
      </w:r>
    </w:p>
    <w:p w:rsidR="00327BF4" w:rsidRPr="00327BF4" w:rsidRDefault="00327BF4" w:rsidP="00327BF4">
      <w:pPr>
        <w:pStyle w:val="ListParagraph"/>
        <w:numPr>
          <w:ilvl w:val="0"/>
          <w:numId w:val="40"/>
        </w:numPr>
        <w:shd w:val="clear" w:color="auto" w:fill="FFFFFF"/>
        <w:spacing w:after="0" w:line="240" w:lineRule="auto"/>
        <w:jc w:val="both"/>
        <w:rPr>
          <w:rFonts w:ascii="Bookman Old Style" w:eastAsia="Times New Roman" w:hAnsi="Bookman Old Style" w:cs="Arial"/>
          <w:color w:val="333333"/>
          <w:lang w:eastAsia="en-IN"/>
        </w:rPr>
      </w:pPr>
      <w:r w:rsidRPr="00327BF4">
        <w:rPr>
          <w:rFonts w:ascii="Bookman Old Style" w:hAnsi="Bookman Old Style"/>
        </w:rPr>
        <w:t>Fully agree with JCM on removing the 5% cap for Compassionate Appointment</w:t>
      </w:r>
    </w:p>
    <w:p w:rsidR="00327BF4" w:rsidRPr="00E3385A" w:rsidRDefault="00327BF4" w:rsidP="00327BF4">
      <w:pPr>
        <w:pStyle w:val="ListParagraph"/>
        <w:numPr>
          <w:ilvl w:val="0"/>
          <w:numId w:val="40"/>
        </w:numPr>
        <w:shd w:val="clear" w:color="auto" w:fill="FFFFFF"/>
        <w:spacing w:after="0" w:line="240" w:lineRule="auto"/>
        <w:jc w:val="both"/>
        <w:rPr>
          <w:rFonts w:ascii="Bookman Old Style" w:eastAsia="Times New Roman" w:hAnsi="Bookman Old Style" w:cs="Arial"/>
          <w:color w:val="333333"/>
          <w:lang w:eastAsia="en-IN"/>
        </w:rPr>
      </w:pPr>
      <w:r w:rsidRPr="00327BF4">
        <w:rPr>
          <w:rFonts w:ascii="Bookman Old Style" w:hAnsi="Bookman Old Style"/>
        </w:rPr>
        <w:t xml:space="preserve">increasing death-on-duty ex-gratia to </w:t>
      </w:r>
      <w:proofErr w:type="spellStart"/>
      <w:r w:rsidRPr="00327BF4">
        <w:rPr>
          <w:rFonts w:ascii="Bookman Old Style" w:hAnsi="Bookman Old Style"/>
        </w:rPr>
        <w:t>Rs</w:t>
      </w:r>
      <w:proofErr w:type="spellEnd"/>
      <w:r w:rsidRPr="00327BF4">
        <w:rPr>
          <w:rFonts w:ascii="Bookman Old Style" w:hAnsi="Bookman Old Style"/>
        </w:rPr>
        <w:t>. 2 Crores</w:t>
      </w:r>
    </w:p>
    <w:p w:rsidR="00E3385A" w:rsidRDefault="00E3385A" w:rsidP="00E3385A">
      <w:pPr>
        <w:shd w:val="clear" w:color="auto" w:fill="FFFFFF"/>
        <w:spacing w:after="0" w:line="240" w:lineRule="auto"/>
        <w:jc w:val="both"/>
        <w:rPr>
          <w:rFonts w:ascii="Bookman Old Style" w:eastAsia="Times New Roman" w:hAnsi="Bookman Old Style" w:cs="Arial"/>
          <w:color w:val="333333"/>
          <w:lang w:eastAsia="en-IN"/>
        </w:rPr>
      </w:pPr>
    </w:p>
    <w:p w:rsidR="00C12798" w:rsidRPr="00E3385A" w:rsidRDefault="00C12798" w:rsidP="00E3385A">
      <w:pPr>
        <w:shd w:val="clear" w:color="auto" w:fill="FFFFFF"/>
        <w:spacing w:after="0" w:line="240" w:lineRule="auto"/>
        <w:jc w:val="both"/>
        <w:rPr>
          <w:rFonts w:ascii="Bookman Old Style" w:eastAsia="Times New Roman" w:hAnsi="Bookman Old Style" w:cs="Arial"/>
          <w:color w:val="333333"/>
          <w:lang w:eastAsia="en-IN"/>
        </w:rPr>
      </w:pPr>
      <w:r w:rsidRPr="00E3385A">
        <w:rPr>
          <w:rFonts w:ascii="Bookman Old Style" w:hAnsi="Bookman Old Style"/>
          <w:b/>
        </w:rPr>
        <w:t>4.1</w:t>
      </w:r>
      <w:r w:rsidR="00EF082A" w:rsidRPr="00E3385A">
        <w:rPr>
          <w:rFonts w:ascii="Bookman Old Style" w:hAnsi="Bookman Old Style"/>
          <w:b/>
        </w:rPr>
        <w:t>.</w:t>
      </w:r>
      <w:r w:rsidRPr="00E3385A">
        <w:rPr>
          <w:rFonts w:ascii="Bookman Old Style" w:hAnsi="Bookman Old Style"/>
          <w:b/>
        </w:rPr>
        <w:t xml:space="preserve"> </w:t>
      </w:r>
      <w:r w:rsidR="00EF082A" w:rsidRPr="00E3385A">
        <w:rPr>
          <w:rFonts w:ascii="Bookman Old Style" w:hAnsi="Bookman Old Style"/>
          <w:b/>
        </w:rPr>
        <w:t>PROVISION FOR ANNUAL SURRENDER OF 15 DAYS EARNED LEAVE (EL):</w:t>
      </w:r>
    </w:p>
    <w:p w:rsidR="00A93974" w:rsidRDefault="00C12798" w:rsidP="00A93974">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Due to acute staff shortages and high v</w:t>
      </w:r>
      <w:r w:rsidR="002F10F5" w:rsidRPr="00736260">
        <w:rPr>
          <w:rFonts w:ascii="Bookman Old Style" w:hAnsi="Bookman Old Style"/>
          <w:sz w:val="22"/>
          <w:szCs w:val="22"/>
        </w:rPr>
        <w:t>acancy levels</w:t>
      </w:r>
      <w:r w:rsidRPr="00736260">
        <w:rPr>
          <w:rFonts w:ascii="Bookman Old Style" w:hAnsi="Bookman Old Style"/>
          <w:sz w:val="22"/>
          <w:szCs w:val="22"/>
        </w:rPr>
        <w:t>, employees are frequently denied leave due to "exigencies of service." This results in the forced accumulation of leave, often reaching the 300-day c</w:t>
      </w:r>
      <w:r w:rsidR="0076451A" w:rsidRPr="00736260">
        <w:rPr>
          <w:rFonts w:ascii="Bookman Old Style" w:hAnsi="Bookman Old Style"/>
          <w:sz w:val="22"/>
          <w:szCs w:val="22"/>
        </w:rPr>
        <w:t xml:space="preserve">eiling years before retirement. </w:t>
      </w:r>
      <w:r w:rsidRPr="00736260">
        <w:rPr>
          <w:rFonts w:ascii="Bookman Old Style" w:hAnsi="Bookman Old Style"/>
          <w:sz w:val="22"/>
          <w:szCs w:val="22"/>
        </w:rPr>
        <w:t xml:space="preserve">We demand the facility to surrender up to </w:t>
      </w:r>
      <w:r w:rsidRPr="00736260">
        <w:rPr>
          <w:rFonts w:ascii="Bookman Old Style" w:hAnsi="Bookman Old Style"/>
          <w:bCs/>
          <w:sz w:val="22"/>
          <w:szCs w:val="22"/>
        </w:rPr>
        <w:t>15 days of Earned Leave (EL) every year</w:t>
      </w:r>
      <w:r w:rsidRPr="00736260">
        <w:rPr>
          <w:rFonts w:ascii="Bookman Old Style" w:hAnsi="Bookman Old Style"/>
          <w:sz w:val="22"/>
          <w:szCs w:val="22"/>
        </w:rPr>
        <w:t xml:space="preserve"> in exchange for </w:t>
      </w:r>
      <w:r w:rsidRPr="00736260">
        <w:rPr>
          <w:rFonts w:ascii="Bookman Old Style" w:hAnsi="Bookman Old Style"/>
          <w:sz w:val="22"/>
          <w:szCs w:val="22"/>
        </w:rPr>
        <w:lastRenderedPageBreak/>
        <w:t>equivalent Leave Salary (Basic Pay + DA). This should be a standalone facility, independent of the requiremen</w:t>
      </w:r>
      <w:r w:rsidR="0076451A" w:rsidRPr="00736260">
        <w:rPr>
          <w:rFonts w:ascii="Bookman Old Style" w:hAnsi="Bookman Old Style"/>
          <w:sz w:val="22"/>
          <w:szCs w:val="22"/>
        </w:rPr>
        <w:t>t to physically avail of leave.</w:t>
      </w:r>
      <w:r w:rsidR="00643C69">
        <w:rPr>
          <w:rFonts w:ascii="Bookman Old Style" w:hAnsi="Bookman Old Style"/>
          <w:sz w:val="22"/>
          <w:szCs w:val="22"/>
        </w:rPr>
        <w:t xml:space="preserve"> </w:t>
      </w:r>
      <w:r w:rsidRPr="00736260">
        <w:rPr>
          <w:rFonts w:ascii="Bookman Old Style" w:hAnsi="Bookman Old Style"/>
          <w:sz w:val="22"/>
          <w:szCs w:val="22"/>
        </w:rPr>
        <w:t xml:space="preserve">Allowing annual encashment at current pay scales reduces the Government’s massive "deferred liability." Paying for 15 days at today's rates is significantly more economical for the Exchequer than paying for that same leave at the "Last Pay Drawn" </w:t>
      </w:r>
      <w:r w:rsidR="00A93974">
        <w:rPr>
          <w:rFonts w:ascii="Bookman Old Style" w:hAnsi="Bookman Old Style"/>
          <w:sz w:val="22"/>
          <w:szCs w:val="22"/>
        </w:rPr>
        <w:t>rate at the time of retirement.</w:t>
      </w:r>
    </w:p>
    <w:p w:rsidR="00A93974" w:rsidRDefault="00A93974" w:rsidP="00A93974">
      <w:pPr>
        <w:pStyle w:val="NormalWeb"/>
        <w:spacing w:before="0" w:beforeAutospacing="0" w:after="0" w:afterAutospacing="0"/>
        <w:jc w:val="both"/>
        <w:rPr>
          <w:rFonts w:ascii="Bookman Old Style" w:hAnsi="Bookman Old Style"/>
          <w:sz w:val="22"/>
          <w:szCs w:val="22"/>
        </w:rPr>
      </w:pPr>
    </w:p>
    <w:p w:rsidR="006C4B4C" w:rsidRPr="00A93974" w:rsidRDefault="006C4B4C" w:rsidP="00A93974">
      <w:pPr>
        <w:pStyle w:val="NormalWeb"/>
        <w:spacing w:before="0" w:beforeAutospacing="0" w:after="0" w:afterAutospacing="0"/>
        <w:jc w:val="both"/>
        <w:rPr>
          <w:rFonts w:ascii="Bookman Old Style" w:hAnsi="Bookman Old Style"/>
          <w:sz w:val="22"/>
          <w:szCs w:val="22"/>
        </w:rPr>
      </w:pPr>
      <w:r w:rsidRPr="00A93974">
        <w:rPr>
          <w:rFonts w:ascii="Bookman Old Style" w:hAnsi="Bookman Old Style"/>
          <w:b/>
        </w:rPr>
        <w:t>4.2 REMOVAL OF THE 60-DAY LIFETIME LIMIT FOR LTC LEAVE ENCASHMENT:</w:t>
      </w:r>
    </w:p>
    <w:p w:rsidR="00A93974" w:rsidRDefault="006C4B4C" w:rsidP="00A93974">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Currently, employees can encash 10 days of EL while availing LTC, but this is restricted to a lifetime ceiling of 60 days. This limit is arbitrary and penalizes senior employees. Once the 60-day limit is reached, the facility is withdrawn for the remainder of their career, reg</w:t>
      </w:r>
      <w:r w:rsidR="00584202" w:rsidRPr="00736260">
        <w:rPr>
          <w:rFonts w:ascii="Bookman Old Style" w:hAnsi="Bookman Old Style"/>
          <w:sz w:val="22"/>
          <w:szCs w:val="22"/>
        </w:rPr>
        <w:t xml:space="preserve">ardless of their leave balance. </w:t>
      </w:r>
      <w:r w:rsidRPr="00736260">
        <w:rPr>
          <w:rFonts w:ascii="Bookman Old Style" w:hAnsi="Bookman Old Style"/>
          <w:sz w:val="22"/>
          <w:szCs w:val="22"/>
        </w:rPr>
        <w:t xml:space="preserve">The 8th CPC should recommend the </w:t>
      </w:r>
      <w:r w:rsidRPr="00736260">
        <w:rPr>
          <w:rFonts w:ascii="Bookman Old Style" w:hAnsi="Bookman Old Style"/>
          <w:bCs/>
          <w:sz w:val="22"/>
          <w:szCs w:val="22"/>
        </w:rPr>
        <w:t>complete abolition of the 60-day career ceiling</w:t>
      </w:r>
      <w:r w:rsidRPr="00736260">
        <w:rPr>
          <w:rFonts w:ascii="Bookman Old Style" w:hAnsi="Bookman Old Style"/>
          <w:sz w:val="22"/>
          <w:szCs w:val="22"/>
        </w:rPr>
        <w:t xml:space="preserve"> for leave encashment during LTC. An employee should be permitted to encash 10 days of EL whenever they avail of LTC (within the permissible blocks), as long as they maintain the prescribed minimum </w:t>
      </w:r>
      <w:r w:rsidR="00A93974">
        <w:rPr>
          <w:rFonts w:ascii="Bookman Old Style" w:hAnsi="Bookman Old Style"/>
          <w:sz w:val="22"/>
          <w:szCs w:val="22"/>
        </w:rPr>
        <w:t>balance in their leave account.</w:t>
      </w:r>
    </w:p>
    <w:p w:rsidR="00A93974" w:rsidRDefault="00A93974" w:rsidP="00A93974">
      <w:pPr>
        <w:pStyle w:val="NormalWeb"/>
        <w:spacing w:before="0" w:beforeAutospacing="0" w:after="0" w:afterAutospacing="0"/>
        <w:jc w:val="both"/>
        <w:rPr>
          <w:rFonts w:ascii="Bookman Old Style" w:hAnsi="Bookman Old Style"/>
          <w:sz w:val="22"/>
          <w:szCs w:val="22"/>
        </w:rPr>
      </w:pPr>
    </w:p>
    <w:p w:rsidR="00511FDA" w:rsidRPr="00A93974" w:rsidRDefault="00511FDA" w:rsidP="00A93974">
      <w:pPr>
        <w:pStyle w:val="NormalWeb"/>
        <w:spacing w:before="0" w:beforeAutospacing="0" w:after="0" w:afterAutospacing="0"/>
        <w:jc w:val="both"/>
        <w:rPr>
          <w:rFonts w:ascii="Bookman Old Style" w:hAnsi="Bookman Old Style"/>
          <w:sz w:val="22"/>
          <w:szCs w:val="22"/>
        </w:rPr>
      </w:pPr>
      <w:r w:rsidRPr="00A93974">
        <w:rPr>
          <w:rFonts w:ascii="Bookman Old Style" w:hAnsi="Bookman Old Style"/>
          <w:b/>
        </w:rPr>
        <w:t>4.3 PROVISION OF HOME TOWN LTC FACILITY EVERY YEAR:</w:t>
      </w:r>
    </w:p>
    <w:p w:rsidR="00A85E7A" w:rsidRDefault="00511FDA" w:rsidP="00A85E7A">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 xml:space="preserve">A significant portion of the Central Government workforce serves in locations far from their native states. The current system—providing Home Town LTC only once in a two-year block—is insufficient for maintaining family bonds and fulfilling social/filial obligations (such as caring for elderly parents or attending </w:t>
      </w:r>
      <w:r w:rsidR="00EC4242" w:rsidRPr="00736260">
        <w:rPr>
          <w:rFonts w:ascii="Bookman Old Style" w:hAnsi="Bookman Old Style"/>
          <w:sz w:val="22"/>
          <w:szCs w:val="22"/>
        </w:rPr>
        <w:t xml:space="preserve">to ancestral property/rituals). </w:t>
      </w:r>
      <w:r w:rsidRPr="00736260">
        <w:rPr>
          <w:rFonts w:ascii="Bookman Old Style" w:hAnsi="Bookman Old Style"/>
          <w:sz w:val="22"/>
          <w:szCs w:val="22"/>
        </w:rPr>
        <w:t xml:space="preserve">We demand that </w:t>
      </w:r>
      <w:r w:rsidRPr="00736260">
        <w:rPr>
          <w:rFonts w:ascii="Bookman Old Style" w:hAnsi="Bookman Old Style"/>
          <w:b/>
          <w:bCs/>
          <w:sz w:val="22"/>
          <w:szCs w:val="22"/>
        </w:rPr>
        <w:t>Home Town LTC be granted every year</w:t>
      </w:r>
      <w:r w:rsidRPr="00736260">
        <w:rPr>
          <w:rFonts w:ascii="Bookman Old Style" w:hAnsi="Bookman Old Style"/>
          <w:sz w:val="22"/>
          <w:szCs w:val="22"/>
        </w:rPr>
        <w:t xml:space="preserve"> to all Central Government employees. The "All India LTC" facility may continue to be granted once in a four-year block as per existing patterns, but the Home Town travel facility should</w:t>
      </w:r>
      <w:r w:rsidR="00EC4242" w:rsidRPr="00736260">
        <w:rPr>
          <w:rFonts w:ascii="Bookman Old Style" w:hAnsi="Bookman Old Style"/>
          <w:sz w:val="22"/>
          <w:szCs w:val="22"/>
        </w:rPr>
        <w:t xml:space="preserve"> be made an annual entitlement. </w:t>
      </w:r>
      <w:r w:rsidRPr="00736260">
        <w:rPr>
          <w:rFonts w:ascii="Bookman Old Style" w:hAnsi="Bookman Old Style"/>
          <w:sz w:val="22"/>
          <w:szCs w:val="22"/>
        </w:rPr>
        <w:t>Regular visits to the home town significantly reduce stress and "home-sickness," leading to better mental health and increased focus on duty upon return. Many State Governments and Public Sector Undertakings (PSUs) already recognize the importance of</w:t>
      </w:r>
      <w:r w:rsidR="00A85E7A">
        <w:rPr>
          <w:rFonts w:ascii="Bookman Old Style" w:hAnsi="Bookman Old Style"/>
          <w:sz w:val="22"/>
          <w:szCs w:val="22"/>
        </w:rPr>
        <w:t xml:space="preserve"> annual travel for their staff.</w:t>
      </w:r>
    </w:p>
    <w:p w:rsidR="00A85E7A" w:rsidRDefault="00A85E7A" w:rsidP="00A85E7A">
      <w:pPr>
        <w:pStyle w:val="NormalWeb"/>
        <w:spacing w:before="0" w:beforeAutospacing="0" w:after="0" w:afterAutospacing="0"/>
        <w:jc w:val="both"/>
        <w:rPr>
          <w:rFonts w:ascii="Bookman Old Style" w:hAnsi="Bookman Old Style"/>
          <w:sz w:val="22"/>
          <w:szCs w:val="22"/>
        </w:rPr>
      </w:pPr>
    </w:p>
    <w:p w:rsidR="00260A5F" w:rsidRPr="00A85E7A" w:rsidRDefault="00260A5F" w:rsidP="00A85E7A">
      <w:pPr>
        <w:pStyle w:val="NormalWeb"/>
        <w:spacing w:before="0" w:beforeAutospacing="0" w:after="0" w:afterAutospacing="0"/>
        <w:jc w:val="both"/>
        <w:rPr>
          <w:rFonts w:ascii="Bookman Old Style" w:hAnsi="Bookman Old Style"/>
          <w:sz w:val="22"/>
          <w:szCs w:val="22"/>
        </w:rPr>
      </w:pPr>
      <w:r w:rsidRPr="00736260">
        <w:rPr>
          <w:rFonts w:ascii="Bookman Old Style" w:hAnsi="Bookman Old Style"/>
          <w:b/>
          <w:bCs/>
        </w:rPr>
        <w:t xml:space="preserve">4.4 </w:t>
      </w:r>
      <w:r w:rsidR="00775A28">
        <w:rPr>
          <w:rFonts w:ascii="Bookman Old Style" w:hAnsi="Bookman Old Style"/>
          <w:b/>
          <w:bCs/>
        </w:rPr>
        <w:t>EXTENSION OF</w:t>
      </w:r>
      <w:r w:rsidR="00EA6E2E">
        <w:rPr>
          <w:rFonts w:ascii="Bookman Old Style" w:hAnsi="Bookman Old Style"/>
          <w:b/>
          <w:bCs/>
        </w:rPr>
        <w:t xml:space="preserve"> CGHS </w:t>
      </w:r>
      <w:r w:rsidR="00775A28">
        <w:rPr>
          <w:rFonts w:ascii="Bookman Old Style" w:hAnsi="Bookman Old Style"/>
          <w:b/>
          <w:bCs/>
        </w:rPr>
        <w:t>CASHLES</w:t>
      </w:r>
      <w:r w:rsidR="00C2179D">
        <w:rPr>
          <w:rFonts w:ascii="Bookman Old Style" w:hAnsi="Bookman Old Style"/>
          <w:b/>
          <w:bCs/>
        </w:rPr>
        <w:t>S</w:t>
      </w:r>
      <w:r w:rsidR="00775A28">
        <w:rPr>
          <w:rFonts w:ascii="Bookman Old Style" w:hAnsi="Bookman Old Style"/>
          <w:b/>
          <w:bCs/>
        </w:rPr>
        <w:t xml:space="preserve"> TREATMENT FACILITY TO SERVING GOVERNMENT EMPLOYEES AT PAR WITH PENSIONERS</w:t>
      </w:r>
      <w:r w:rsidR="00EA6E2E">
        <w:rPr>
          <w:rFonts w:ascii="Bookman Old Style" w:hAnsi="Bookman Old Style"/>
          <w:b/>
          <w:bCs/>
        </w:rPr>
        <w:t>:</w:t>
      </w:r>
    </w:p>
    <w:p w:rsidR="00260A5F" w:rsidRPr="00736260" w:rsidRDefault="00260A5F" w:rsidP="00C37E0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Central Government Health Scheme (CGHS) presently provides the facility of cashless medical treatment to pensioners, ensuring timely and hassle-free access to healthcare services. However, this crucial benefit is not extended to serving Central Government employees, who continue to bear the burden of upfront payments and subsequent reimbursement procedures.</w:t>
      </w:r>
    </w:p>
    <w:p w:rsidR="00260A5F" w:rsidRPr="00736260" w:rsidRDefault="00260A5F" w:rsidP="00EA6E2E">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Serving employees, like pensioners, face medical emergencies where immediate financial outflow can be substantial and distressing. The existing reimbursement system often leads to delays, procedural complexities, and financial strain, particularly in cases involving hospitalization, specialized treatments, or high-cost procedures. This creates an avoidable disparity between serving and retired employees under the same healthcare framework.</w:t>
      </w:r>
    </w:p>
    <w:p w:rsidR="00260A5F" w:rsidRPr="00736260" w:rsidRDefault="00260A5F" w:rsidP="00C37E08">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In the current era of digital governance and empanelled hospital networks, implementation of a cashless system for serving employees is both administratively feasible and operationally efficient. Extending this facility will ensure timely access to quality healthcare without financial barriers, thereby reducing stress and improving overall well-being and productivity of employees.</w:t>
      </w:r>
    </w:p>
    <w:p w:rsidR="00260A5F" w:rsidRDefault="00260A5F" w:rsidP="00C37E08">
      <w:pPr>
        <w:spacing w:after="0" w:line="240" w:lineRule="auto"/>
        <w:ind w:firstLine="720"/>
        <w:jc w:val="both"/>
        <w:rPr>
          <w:rFonts w:ascii="Bookman Old Style" w:hAnsi="Bookman Old Style"/>
        </w:rPr>
      </w:pPr>
      <w:r w:rsidRPr="00736260">
        <w:rPr>
          <w:rFonts w:ascii="Bookman Old Style" w:eastAsia="Times New Roman" w:hAnsi="Bookman Old Style" w:cs="Times New Roman"/>
          <w:lang w:eastAsia="en-IN"/>
        </w:rPr>
        <w:t xml:space="preserve">It is therefore earnestly requested that the 8th </w:t>
      </w:r>
      <w:r w:rsidR="00F46242">
        <w:rPr>
          <w:rFonts w:ascii="Bookman Old Style" w:eastAsia="Times New Roman" w:hAnsi="Bookman Old Style" w:cs="Times New Roman"/>
          <w:lang w:eastAsia="en-IN"/>
        </w:rPr>
        <w:t>CPC</w:t>
      </w:r>
      <w:r w:rsidRPr="00736260">
        <w:rPr>
          <w:rFonts w:ascii="Bookman Old Style" w:eastAsia="Times New Roman" w:hAnsi="Bookman Old Style" w:cs="Times New Roman"/>
          <w:lang w:eastAsia="en-IN"/>
        </w:rPr>
        <w:t xml:space="preserve"> recommend the extension of cashless medical treatment facilities under CGHS to all serving Central Government employees, at par with pensioners. This measure will promote </w:t>
      </w:r>
      <w:r w:rsidRPr="00166A5D">
        <w:rPr>
          <w:rFonts w:ascii="Bookman Old Style" w:eastAsia="Times New Roman" w:hAnsi="Bookman Old Style" w:cs="Times New Roman"/>
          <w:lang w:eastAsia="en-IN"/>
        </w:rPr>
        <w:t>equity, enhance employee welfare, and reinforce the Government’s role as a model employer.</w:t>
      </w:r>
      <w:r w:rsidR="00166A5D" w:rsidRPr="00166A5D">
        <w:rPr>
          <w:rFonts w:ascii="Bookman Old Style" w:eastAsia="Times New Roman" w:hAnsi="Bookman Old Style" w:cs="Times New Roman"/>
          <w:lang w:eastAsia="en-IN"/>
        </w:rPr>
        <w:t xml:space="preserve"> </w:t>
      </w:r>
      <w:r w:rsidR="00166A5D" w:rsidRPr="00166A5D">
        <w:rPr>
          <w:rFonts w:ascii="Bookman Old Style" w:hAnsi="Bookman Old Style"/>
        </w:rPr>
        <w:lastRenderedPageBreak/>
        <w:t xml:space="preserve">Furthermore, we strongly demand that all recommendations of the Parliamentary Standing Committee on CGHS—such as the rapid expansion of wellness </w:t>
      </w:r>
      <w:proofErr w:type="spellStart"/>
      <w:r w:rsidR="00166A5D" w:rsidRPr="00166A5D">
        <w:rPr>
          <w:rFonts w:ascii="Bookman Old Style" w:hAnsi="Bookman Old Style"/>
        </w:rPr>
        <w:t>centers</w:t>
      </w:r>
      <w:proofErr w:type="spellEnd"/>
      <w:r w:rsidR="00166A5D" w:rsidRPr="00166A5D">
        <w:rPr>
          <w:rFonts w:ascii="Bookman Old Style" w:hAnsi="Bookman Old Style"/>
        </w:rPr>
        <w:t xml:space="preserve"> and modernized reimbursement protocols—be directly incorporated into our service conditions to ensure the quality of this cashless care</w:t>
      </w:r>
      <w:r w:rsidR="00FE41D1">
        <w:rPr>
          <w:rFonts w:ascii="Bookman Old Style" w:hAnsi="Bookman Old Style"/>
        </w:rPr>
        <w:t>.</w:t>
      </w:r>
    </w:p>
    <w:p w:rsidR="00260A5F" w:rsidRDefault="00260A5F" w:rsidP="002C4EAE">
      <w:pPr>
        <w:shd w:val="clear" w:color="auto" w:fill="FFFFFF"/>
        <w:spacing w:after="0" w:line="240" w:lineRule="auto"/>
        <w:jc w:val="both"/>
        <w:rPr>
          <w:rFonts w:ascii="Bookman Old Style" w:eastAsia="Times New Roman" w:hAnsi="Bookman Old Style" w:cs="Arial"/>
          <w:color w:val="333333"/>
          <w:lang w:eastAsia="en-IN"/>
        </w:rPr>
      </w:pPr>
    </w:p>
    <w:p w:rsidR="0035551A" w:rsidRPr="00736260" w:rsidRDefault="0035551A" w:rsidP="0035551A">
      <w:pPr>
        <w:shd w:val="clear" w:color="auto" w:fill="FFFFFF"/>
        <w:spacing w:after="0" w:line="240" w:lineRule="auto"/>
        <w:jc w:val="both"/>
        <w:rPr>
          <w:rFonts w:ascii="Bookman Old Style" w:hAnsi="Bookman Old Style"/>
          <w:b/>
        </w:rPr>
      </w:pPr>
      <w:r>
        <w:rPr>
          <w:rFonts w:ascii="Bookman Old Style" w:eastAsia="Times New Roman" w:hAnsi="Bookman Old Style" w:cs="Arial"/>
          <w:b/>
          <w:color w:val="333333"/>
          <w:lang w:eastAsia="en-IN"/>
        </w:rPr>
        <w:t>4.5</w:t>
      </w:r>
      <w:r w:rsidRPr="00736260">
        <w:rPr>
          <w:rFonts w:ascii="Bookman Old Style" w:eastAsia="Times New Roman" w:hAnsi="Bookman Old Style" w:cs="Arial"/>
          <w:b/>
          <w:color w:val="333333"/>
          <w:lang w:eastAsia="en-IN"/>
        </w:rPr>
        <w:t xml:space="preserve"> </w:t>
      </w:r>
      <w:r w:rsidRPr="00736260">
        <w:rPr>
          <w:rFonts w:ascii="Bookman Old Style" w:hAnsi="Bookman Old Style"/>
          <w:b/>
        </w:rPr>
        <w:t>CGHS FACILITIES TO BOTH PARENTS AND PARENTS-IN-LAW:</w:t>
      </w:r>
    </w:p>
    <w:p w:rsidR="0035551A" w:rsidRPr="00736260" w:rsidRDefault="0035551A" w:rsidP="0035551A">
      <w:pPr>
        <w:shd w:val="clear" w:color="auto" w:fill="FFFFFF"/>
        <w:spacing w:after="0" w:line="240" w:lineRule="auto"/>
        <w:ind w:firstLine="720"/>
        <w:jc w:val="both"/>
        <w:rPr>
          <w:rFonts w:ascii="Bookman Old Style" w:hAnsi="Bookman Old Style"/>
        </w:rPr>
      </w:pPr>
      <w:r w:rsidRPr="00736260">
        <w:rPr>
          <w:rFonts w:ascii="Bookman Old Style" w:hAnsi="Bookman Old Style"/>
        </w:rPr>
        <w:t>Under the existing Central Government Health Scheme (CGHS) and CS(MA) Rules, employees can declare either their parents or their parents-in-law as dependents for medical facilities. However, this restriction forces employees to make an agonizing choice between providing essential healthcare to their own parents or their spouse's parents. The Maintenance and Welfare of Parents and Senior Citizens Act mandates the care of senior citizens, making it both a legal and moral obligation for children to support them. In today's socio-economic environment, particularly in nuclear family setups, both sets of parents often rely entirely on the working couple for healthcare and financial support. Restricting the medical dependency to only one set of parents causes immense financial strain and emotional hardship for the employee. Furthermore, aging parents require continuous and specialized medical care that is financially crippling without government health scheme coverage. Therefore, we strongly demand that the existing rules be amended to allow both dependent parents and dependent parents-in-law to be included for CGHS and CS(MA) medical facilities simultaneously. This progressive step would align the Government's healthcare policy with modern familial responsibilities. Ultimately, it would reinforce the Government's role as a model employer committed to the holistic social security of its workforce and their immediate elderly families.</w:t>
      </w:r>
      <w:r w:rsidR="0061576E">
        <w:rPr>
          <w:rFonts w:ascii="Bookman Old Style" w:hAnsi="Bookman Old Style"/>
        </w:rPr>
        <w:t xml:space="preserve"> Hence, </w:t>
      </w:r>
      <w:r w:rsidR="007E2AAC">
        <w:rPr>
          <w:rFonts w:ascii="Bookman Old Style" w:hAnsi="Bookman Old Style"/>
        </w:rPr>
        <w:t>in cases where both</w:t>
      </w:r>
      <w:r w:rsidR="0061576E">
        <w:rPr>
          <w:rFonts w:ascii="Bookman Old Style" w:hAnsi="Bookman Old Style"/>
        </w:rPr>
        <w:t xml:space="preserve"> parents and parents in law are </w:t>
      </w:r>
      <w:r w:rsidR="007E2AAC">
        <w:rPr>
          <w:rFonts w:ascii="Bookman Old Style" w:hAnsi="Bookman Old Style"/>
        </w:rPr>
        <w:t>financially dependent on the employee</w:t>
      </w:r>
      <w:r w:rsidR="0061576E">
        <w:rPr>
          <w:rFonts w:ascii="Bookman Old Style" w:hAnsi="Bookman Old Style"/>
        </w:rPr>
        <w:t xml:space="preserve">, </w:t>
      </w:r>
      <w:r w:rsidR="003B1FCE">
        <w:rPr>
          <w:rFonts w:ascii="Bookman Old Style" w:hAnsi="Bookman Old Style"/>
        </w:rPr>
        <w:t xml:space="preserve">the rules should be amended to allow the employee </w:t>
      </w:r>
      <w:r w:rsidR="0078332C">
        <w:rPr>
          <w:rFonts w:ascii="Bookman Old Style" w:hAnsi="Bookman Old Style"/>
        </w:rPr>
        <w:t>to</w:t>
      </w:r>
      <w:r w:rsidR="003B1FCE">
        <w:rPr>
          <w:rFonts w:ascii="Bookman Old Style" w:hAnsi="Bookman Old Style"/>
        </w:rPr>
        <w:t xml:space="preserve"> declare</w:t>
      </w:r>
      <w:r w:rsidR="0078332C">
        <w:rPr>
          <w:rFonts w:ascii="Bookman Old Style" w:hAnsi="Bookman Old Style"/>
        </w:rPr>
        <w:t xml:space="preserve"> both parents and parents in law</w:t>
      </w:r>
      <w:r w:rsidR="00F72EF7">
        <w:rPr>
          <w:rFonts w:ascii="Bookman Old Style" w:hAnsi="Bookman Old Style"/>
        </w:rPr>
        <w:t xml:space="preserve"> as dependents for CGHS facilities</w:t>
      </w:r>
      <w:r w:rsidR="0078332C">
        <w:rPr>
          <w:rFonts w:ascii="Bookman Old Style" w:hAnsi="Bookman Old Style"/>
        </w:rPr>
        <w:t>.</w:t>
      </w:r>
    </w:p>
    <w:p w:rsidR="000D340F" w:rsidRPr="00736260" w:rsidRDefault="000D340F" w:rsidP="00511FDA">
      <w:pPr>
        <w:shd w:val="clear" w:color="auto" w:fill="FFFFFF"/>
        <w:spacing w:after="0" w:line="240" w:lineRule="auto"/>
        <w:jc w:val="both"/>
        <w:rPr>
          <w:rFonts w:ascii="Bookman Old Style" w:eastAsia="Times New Roman" w:hAnsi="Bookman Old Style" w:cs="Arial"/>
          <w:color w:val="333333"/>
          <w:lang w:eastAsia="en-IN"/>
        </w:rPr>
      </w:pPr>
    </w:p>
    <w:p w:rsidR="000D340F" w:rsidRPr="00736260" w:rsidRDefault="00AF3742" w:rsidP="00785938">
      <w:pPr>
        <w:spacing w:after="0" w:line="240" w:lineRule="auto"/>
        <w:jc w:val="both"/>
        <w:rPr>
          <w:rFonts w:ascii="Bookman Old Style" w:eastAsia="Times New Roman" w:hAnsi="Bookman Old Style" w:cs="Times New Roman"/>
          <w:b/>
          <w:lang w:eastAsia="en-IN"/>
        </w:rPr>
      </w:pPr>
      <w:r w:rsidRPr="005705F7">
        <w:rPr>
          <w:rFonts w:ascii="Bookman Old Style" w:eastAsia="Times New Roman" w:hAnsi="Bookman Old Style" w:cs="Times New Roman"/>
          <w:b/>
          <w:lang w:eastAsia="en-IN"/>
        </w:rPr>
        <w:t>4</w:t>
      </w:r>
      <w:r w:rsidR="000D340F" w:rsidRPr="005705F7">
        <w:rPr>
          <w:rFonts w:ascii="Bookman Old Style" w:eastAsia="Times New Roman" w:hAnsi="Bookman Old Style" w:cs="Times New Roman"/>
          <w:b/>
          <w:lang w:eastAsia="en-IN"/>
        </w:rPr>
        <w:t>.</w:t>
      </w:r>
      <w:r w:rsidR="0035551A" w:rsidRPr="005705F7">
        <w:rPr>
          <w:rFonts w:ascii="Bookman Old Style" w:eastAsia="Times New Roman" w:hAnsi="Bookman Old Style" w:cs="Times New Roman"/>
          <w:b/>
          <w:lang w:eastAsia="en-IN"/>
        </w:rPr>
        <w:t>6</w:t>
      </w:r>
      <w:r w:rsidR="000D340F" w:rsidRPr="005705F7">
        <w:rPr>
          <w:rFonts w:ascii="Bookman Old Style" w:eastAsia="Times New Roman" w:hAnsi="Bookman Old Style" w:cs="Times New Roman"/>
          <w:b/>
          <w:lang w:eastAsia="en-IN"/>
        </w:rPr>
        <w:t xml:space="preserve"> TELEPHONE BILL/MOBIL</w:t>
      </w:r>
      <w:r w:rsidR="00715A56">
        <w:rPr>
          <w:rFonts w:ascii="Bookman Old Style" w:eastAsia="Times New Roman" w:hAnsi="Bookman Old Style" w:cs="Times New Roman"/>
          <w:b/>
          <w:lang w:eastAsia="en-IN"/>
        </w:rPr>
        <w:t>E</w:t>
      </w:r>
      <w:r w:rsidR="000D340F" w:rsidRPr="005705F7">
        <w:rPr>
          <w:rFonts w:ascii="Bookman Old Style" w:eastAsia="Times New Roman" w:hAnsi="Bookman Old Style" w:cs="Times New Roman"/>
          <w:b/>
          <w:lang w:eastAsia="en-IN"/>
        </w:rPr>
        <w:t xml:space="preserve"> BILL/DATA CARD REIMBURSEMENT:</w:t>
      </w:r>
    </w:p>
    <w:p w:rsidR="000D340F" w:rsidRPr="00004FD3" w:rsidRDefault="007319B0" w:rsidP="00785938">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The existing provisions of the Department of Expenditure restrict reimbursement of telephone and internet charges mainly to officers of Deputy Secretary level and above, with only limited and discretionary coverage for officers below this level. However, with the shift to digital governance, IPTAFS Group ‘B’ officers are now required to extensively use internet and mobile connectivity for official duties. Their work includes accessing e-</w:t>
      </w:r>
      <w:proofErr w:type="spellStart"/>
      <w:r w:rsidRPr="00736260">
        <w:rPr>
          <w:rFonts w:ascii="Bookman Old Style" w:hAnsi="Bookman Old Style"/>
          <w:sz w:val="22"/>
          <w:szCs w:val="22"/>
        </w:rPr>
        <w:t>lekha</w:t>
      </w:r>
      <w:proofErr w:type="spellEnd"/>
      <w:r w:rsidRPr="00736260">
        <w:rPr>
          <w:rFonts w:ascii="Bookman Old Style" w:hAnsi="Bookman Old Style"/>
          <w:sz w:val="22"/>
          <w:szCs w:val="22"/>
        </w:rPr>
        <w:t xml:space="preserve"> systems, monitoring cash books and cash accounts, verifying financial data, and performing scrutiny through e-Office platforms. In addition, they are required to regularly communicate over phone with Head Post Offices for settlement of Internal Audit Paras, resolution of objections in Cash Books and Cash Accounts, and handling GST, NPS, and pension-related matters. These functions require continuous and reliable connectivity, often beyond office hours and including work-from-home situations. At present, these officers incur recurring personal expenditure for such official communication and data usage. This creates an inequitable situation where officers performing critical financial and audit functions are not compensated for essential work-related expenses. The existing policy, based on rank rather than functional requirement, is therefore outdated and requires revision. In view of this, it is proposed that reimbursement of telephone, mobile, broadband, and data card expenses be extended to all IPTAFS Group ‘B’ officers</w:t>
      </w:r>
      <w:r w:rsidR="00040C50" w:rsidRPr="00736260">
        <w:rPr>
          <w:rFonts w:ascii="Bookman Old Style" w:hAnsi="Bookman Old Style"/>
          <w:sz w:val="22"/>
          <w:szCs w:val="22"/>
        </w:rPr>
        <w:t xml:space="preserve"> i.e. AAOs/AOs/</w:t>
      </w:r>
      <w:proofErr w:type="spellStart"/>
      <w:proofErr w:type="gramStart"/>
      <w:r w:rsidR="00040C50" w:rsidRPr="00736260">
        <w:rPr>
          <w:rFonts w:ascii="Bookman Old Style" w:hAnsi="Bookman Old Style"/>
          <w:sz w:val="22"/>
          <w:szCs w:val="22"/>
        </w:rPr>
        <w:t>Sr.AOs</w:t>
      </w:r>
      <w:proofErr w:type="spellEnd"/>
      <w:proofErr w:type="gramEnd"/>
      <w:r w:rsidRPr="00736260">
        <w:rPr>
          <w:rFonts w:ascii="Bookman Old Style" w:hAnsi="Bookman Old Style"/>
          <w:sz w:val="22"/>
          <w:szCs w:val="22"/>
        </w:rPr>
        <w:t>. A reasonable monthly ceiling may be prescribed to ensure uniformity, administrative simplicity, a</w:t>
      </w:r>
      <w:r w:rsidRPr="00004FD3">
        <w:rPr>
          <w:rFonts w:ascii="Bookman Old Style" w:hAnsi="Bookman Old Style"/>
          <w:sz w:val="22"/>
          <w:szCs w:val="22"/>
        </w:rPr>
        <w:t xml:space="preserve">nd alignment with the requirements of modern digital </w:t>
      </w:r>
      <w:r w:rsidR="00737970" w:rsidRPr="00004FD3">
        <w:rPr>
          <w:rFonts w:ascii="Bookman Old Style" w:hAnsi="Bookman Old Style"/>
          <w:sz w:val="22"/>
          <w:szCs w:val="22"/>
        </w:rPr>
        <w:t>governance.</w:t>
      </w:r>
    </w:p>
    <w:p w:rsidR="000D340F" w:rsidRPr="00004FD3" w:rsidRDefault="000D340F" w:rsidP="00511FDA">
      <w:pPr>
        <w:shd w:val="clear" w:color="auto" w:fill="FFFFFF"/>
        <w:spacing w:after="0" w:line="240" w:lineRule="auto"/>
        <w:jc w:val="both"/>
        <w:rPr>
          <w:rFonts w:ascii="Bookman Old Style" w:eastAsia="Times New Roman" w:hAnsi="Bookman Old Style" w:cs="Arial"/>
          <w:color w:val="333333"/>
          <w:lang w:eastAsia="en-IN"/>
        </w:rPr>
      </w:pPr>
    </w:p>
    <w:p w:rsidR="000D340F" w:rsidRPr="00004FD3" w:rsidRDefault="003522B5" w:rsidP="006F0A66">
      <w:pPr>
        <w:shd w:val="clear" w:color="auto" w:fill="FFFFFF"/>
        <w:spacing w:after="0" w:line="240" w:lineRule="auto"/>
        <w:jc w:val="both"/>
        <w:rPr>
          <w:rFonts w:ascii="Bookman Old Style" w:eastAsia="Times New Roman" w:hAnsi="Bookman Old Style" w:cs="Arial"/>
          <w:b/>
          <w:color w:val="333333"/>
          <w:lang w:eastAsia="en-IN"/>
        </w:rPr>
      </w:pPr>
      <w:r w:rsidRPr="00004FD3">
        <w:rPr>
          <w:rFonts w:ascii="Bookman Old Style" w:eastAsia="Times New Roman" w:hAnsi="Bookman Old Style" w:cs="Arial"/>
          <w:b/>
          <w:color w:val="333333"/>
          <w:lang w:eastAsia="en-IN"/>
        </w:rPr>
        <w:t>4.7 REIMBURSEMENT OF MOBILE PHONE PURCHASE COST EVERY THREE YEARS:</w:t>
      </w:r>
    </w:p>
    <w:p w:rsidR="006F0A66" w:rsidRPr="006F0A66" w:rsidRDefault="006F0A66" w:rsidP="006F0A66">
      <w:pPr>
        <w:spacing w:after="0" w:line="240" w:lineRule="auto"/>
        <w:ind w:firstLine="720"/>
        <w:jc w:val="both"/>
        <w:rPr>
          <w:rFonts w:ascii="Bookman Old Style" w:eastAsia="Times New Roman" w:hAnsi="Bookman Old Style" w:cs="Times New Roman"/>
          <w:lang w:eastAsia="en-IN"/>
        </w:rPr>
      </w:pPr>
      <w:r w:rsidRPr="006F0A66">
        <w:rPr>
          <w:rFonts w:ascii="Bookman Old Style" w:eastAsia="Times New Roman" w:hAnsi="Bookman Old Style" w:cs="Times New Roman"/>
          <w:lang w:eastAsia="en-IN"/>
        </w:rPr>
        <w:lastRenderedPageBreak/>
        <w:t>The rapid transition towards digital governance and platforms like e-Office and PFMS has transformed the operational landscape for finance and accounts officers. Smartphones are no longer just communication devices, but essential working tools required for multi-factor authentication, monitoring digital dashboards, and providing time-sensitive financial concurrence even beyond standard office hours. Relying on personal devices for critical government functions poses operational and cybersecurity risks, especially since most mobile phones cease receiving essential software and security updates after three years. Consequently, officers are forced to bear the recurring out-of-pocket capital cost of replacing obsolete devices simply to maintain efficiency and data security in their official duties.</w:t>
      </w:r>
    </w:p>
    <w:p w:rsidR="006F0A66" w:rsidRPr="006F0A66" w:rsidRDefault="006F0A66" w:rsidP="006F0A66">
      <w:pPr>
        <w:spacing w:after="0" w:line="240" w:lineRule="auto"/>
        <w:ind w:firstLine="720"/>
        <w:jc w:val="both"/>
        <w:rPr>
          <w:rFonts w:ascii="Bookman Old Style" w:eastAsia="Times New Roman" w:hAnsi="Bookman Old Style" w:cs="Times New Roman"/>
          <w:lang w:eastAsia="en-IN"/>
        </w:rPr>
      </w:pPr>
      <w:r w:rsidRPr="006F0A66">
        <w:rPr>
          <w:rFonts w:ascii="Bookman Old Style" w:eastAsia="Times New Roman" w:hAnsi="Bookman Old Style" w:cs="Times New Roman"/>
          <w:lang w:eastAsia="en-IN"/>
        </w:rPr>
        <w:t xml:space="preserve">In light of these functional necessities, our Association strongly urges the 8th </w:t>
      </w:r>
      <w:r w:rsidR="004B39D0" w:rsidRPr="00004FD3">
        <w:rPr>
          <w:rFonts w:ascii="Bookman Old Style" w:eastAsia="Times New Roman" w:hAnsi="Bookman Old Style" w:cs="Times New Roman"/>
          <w:lang w:eastAsia="en-IN"/>
        </w:rPr>
        <w:t>CPC</w:t>
      </w:r>
      <w:r w:rsidRPr="006F0A66">
        <w:rPr>
          <w:rFonts w:ascii="Bookman Old Style" w:eastAsia="Times New Roman" w:hAnsi="Bookman Old Style" w:cs="Times New Roman"/>
          <w:lang w:eastAsia="en-IN"/>
        </w:rPr>
        <w:t xml:space="preserve"> to recommend a formal policy for the reimbursement of mobile phone purchase costs. We propose that this reimbursement be permitted once every three years to align with the standard technological obsolescence cycle of smartphones. </w:t>
      </w:r>
      <w:r w:rsidR="00004FD3" w:rsidRPr="00004FD3">
        <w:rPr>
          <w:rFonts w:ascii="Bookman Old Style" w:hAnsi="Bookman Old Style"/>
        </w:rPr>
        <w:t xml:space="preserve">A prescribed monetary ceiling should be established based on the Pay Level of the officer (e.g., </w:t>
      </w:r>
      <w:r w:rsidR="00004FD3" w:rsidRPr="00004FD3">
        <w:rPr>
          <w:rFonts w:ascii="Times New Roman" w:hAnsi="Times New Roman" w:cs="Times New Roman"/>
        </w:rPr>
        <w:t>₹</w:t>
      </w:r>
      <w:r w:rsidR="00004FD3" w:rsidRPr="00004FD3">
        <w:rPr>
          <w:rFonts w:ascii="Bookman Old Style" w:hAnsi="Bookman Old Style"/>
        </w:rPr>
        <w:t xml:space="preserve">25,000 to </w:t>
      </w:r>
      <w:r w:rsidR="00004FD3" w:rsidRPr="00004FD3">
        <w:rPr>
          <w:rFonts w:ascii="Times New Roman" w:hAnsi="Times New Roman" w:cs="Times New Roman"/>
        </w:rPr>
        <w:t>₹</w:t>
      </w:r>
      <w:r w:rsidR="00004FD3" w:rsidRPr="00004FD3">
        <w:rPr>
          <w:rFonts w:ascii="Bookman Old Style" w:hAnsi="Bookman Old Style"/>
        </w:rPr>
        <w:t>40,000) to ensure the procurement of a secure and capable device. After the completion of the three-year period, the officer may be permitted to retain the obsolete device without any requirement for a residual value deposit, keeping in view data privacy and the negligible salvage value of used electronics.</w:t>
      </w:r>
    </w:p>
    <w:p w:rsidR="003522B5" w:rsidRPr="00004FD3" w:rsidRDefault="003522B5" w:rsidP="006F0A66">
      <w:pPr>
        <w:shd w:val="clear" w:color="auto" w:fill="FFFFFF"/>
        <w:spacing w:after="0" w:line="240" w:lineRule="auto"/>
        <w:jc w:val="both"/>
        <w:rPr>
          <w:rFonts w:ascii="Bookman Old Style" w:eastAsia="Times New Roman" w:hAnsi="Bookman Old Style" w:cs="Arial"/>
          <w:b/>
          <w:color w:val="333333"/>
          <w:lang w:eastAsia="en-IN"/>
        </w:rPr>
      </w:pPr>
    </w:p>
    <w:p w:rsidR="003025F5" w:rsidRPr="00F46E18" w:rsidRDefault="0035551A" w:rsidP="00BD29E4">
      <w:pPr>
        <w:pStyle w:val="NormalWeb"/>
        <w:spacing w:before="0" w:beforeAutospacing="0" w:after="0" w:afterAutospacing="0"/>
        <w:jc w:val="both"/>
        <w:rPr>
          <w:rFonts w:ascii="Bookman Old Style" w:hAnsi="Bookman Old Style"/>
          <w:sz w:val="22"/>
          <w:szCs w:val="22"/>
        </w:rPr>
      </w:pPr>
      <w:r w:rsidRPr="00F46E18">
        <w:rPr>
          <w:rStyle w:val="Strong"/>
          <w:rFonts w:ascii="Bookman Old Style" w:hAnsi="Bookman Old Style"/>
          <w:sz w:val="22"/>
          <w:szCs w:val="22"/>
        </w:rPr>
        <w:t>4</w:t>
      </w:r>
      <w:r w:rsidR="00FF6F37">
        <w:rPr>
          <w:rStyle w:val="Strong"/>
          <w:rFonts w:ascii="Bookman Old Style" w:hAnsi="Bookman Old Style"/>
          <w:sz w:val="22"/>
          <w:szCs w:val="22"/>
        </w:rPr>
        <w:t>.8</w:t>
      </w:r>
      <w:r w:rsidR="003025F5" w:rsidRPr="00F46E18">
        <w:rPr>
          <w:rStyle w:val="Strong"/>
          <w:rFonts w:ascii="Bookman Old Style" w:hAnsi="Bookman Old Style"/>
          <w:sz w:val="22"/>
          <w:szCs w:val="22"/>
        </w:rPr>
        <w:t xml:space="preserve"> REMOVAL OF CEILING ON SANCTIONED STRENGTH FOR EXTENSION OF OFFICIAL DEVICES</w:t>
      </w:r>
    </w:p>
    <w:p w:rsidR="003025F5" w:rsidRPr="00736260" w:rsidRDefault="003025F5" w:rsidP="00BD29E4">
      <w:pPr>
        <w:pStyle w:val="NormalWeb"/>
        <w:spacing w:before="0" w:beforeAutospacing="0" w:after="0" w:afterAutospacing="0"/>
        <w:ind w:firstLine="720"/>
        <w:jc w:val="both"/>
        <w:rPr>
          <w:rFonts w:ascii="Bookman Old Style" w:hAnsi="Bookman Old Style"/>
          <w:sz w:val="22"/>
          <w:szCs w:val="22"/>
        </w:rPr>
      </w:pPr>
      <w:r w:rsidRPr="00F46E18">
        <w:rPr>
          <w:rFonts w:ascii="Bookman Old Style" w:hAnsi="Bookman Old Style"/>
          <w:sz w:val="22"/>
          <w:szCs w:val="22"/>
        </w:rPr>
        <w:t>The existing guidelines</w:t>
      </w:r>
      <w:r w:rsidRPr="00736260">
        <w:rPr>
          <w:rFonts w:ascii="Bookman Old Style" w:hAnsi="Bookman Old Style"/>
          <w:sz w:val="22"/>
          <w:szCs w:val="22"/>
        </w:rPr>
        <w:t xml:space="preserve"> of the Department of Expenditure impose a restriction whereby issuance of laptops and similar digital devices to officers of the level of Section Officer/Under Secretary is limited to only up to 50% of the sanctioned strength, while officers of Deputy Secretary level and above are en</w:t>
      </w:r>
      <w:r w:rsidR="000B201A">
        <w:rPr>
          <w:rFonts w:ascii="Bookman Old Style" w:hAnsi="Bookman Old Style"/>
          <w:sz w:val="22"/>
          <w:szCs w:val="22"/>
        </w:rPr>
        <w:t>titled without such restriction</w:t>
      </w:r>
      <w:r w:rsidRPr="00736260">
        <w:rPr>
          <w:rFonts w:ascii="Bookman Old Style" w:hAnsi="Bookman Old Style"/>
          <w:sz w:val="22"/>
          <w:szCs w:val="22"/>
        </w:rPr>
        <w:t>. This percentage-based ceiling is arbitrary and does not reflect the functional requirements of present-day governance. In the current digital environment, official work across all levels is carried out through e-Office, online financial systems, and real-time data platforms, making access to such devices essential for all officers.</w:t>
      </w:r>
    </w:p>
    <w:p w:rsidR="003025F5" w:rsidRPr="00736260" w:rsidRDefault="003025F5" w:rsidP="00BD29E4">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The restriction results in unequal treatment among officers performing identical duties and creates avoidable administrative discretion in selecting beneficiaries within the prescribed ceiling. Such a system is inconsistent with the principles of equity, transparency, and efficiency in public administration. Further, earlier OMs themselves recognize that issuance of devices should be based on functional necessity rather than rigid criteri</w:t>
      </w:r>
      <w:r w:rsidR="00482FA5" w:rsidRPr="00736260">
        <w:rPr>
          <w:rFonts w:ascii="Bookman Old Style" w:hAnsi="Bookman Old Style"/>
          <w:sz w:val="22"/>
          <w:szCs w:val="22"/>
        </w:rPr>
        <w:t>a</w:t>
      </w:r>
      <w:r w:rsidRPr="00736260">
        <w:rPr>
          <w:rFonts w:ascii="Bookman Old Style" w:hAnsi="Bookman Old Style"/>
          <w:sz w:val="22"/>
          <w:szCs w:val="22"/>
        </w:rPr>
        <w:t>.</w:t>
      </w:r>
    </w:p>
    <w:p w:rsidR="003025F5" w:rsidRPr="00736260" w:rsidRDefault="003025F5" w:rsidP="00BD29E4">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In view of the above, it is proposed that the ceiling of 50% of sanctioned strength for Section Officers and equivalent levels be removed, and eligibility be determined based on functional requirements of the post. This will ensure uniform access to essential digital tools, improve efficiency in service delivery, and align policy with the realities of modern governance.</w:t>
      </w:r>
    </w:p>
    <w:p w:rsidR="00737970" w:rsidRPr="00736260" w:rsidRDefault="00737970" w:rsidP="003025F5">
      <w:pPr>
        <w:shd w:val="clear" w:color="auto" w:fill="FFFFFF"/>
        <w:spacing w:after="0" w:line="240" w:lineRule="auto"/>
        <w:jc w:val="both"/>
        <w:rPr>
          <w:rFonts w:ascii="Bookman Old Style" w:eastAsia="Times New Roman" w:hAnsi="Bookman Old Style" w:cs="Arial"/>
          <w:color w:val="333333"/>
          <w:lang w:eastAsia="en-IN"/>
        </w:rPr>
      </w:pPr>
    </w:p>
    <w:p w:rsidR="004D38D4" w:rsidRPr="00D91A7B" w:rsidRDefault="004D38D4" w:rsidP="00DD46BF">
      <w:pPr>
        <w:shd w:val="clear" w:color="auto" w:fill="FFFFFF"/>
        <w:spacing w:after="0" w:line="240" w:lineRule="auto"/>
        <w:ind w:firstLine="720"/>
        <w:jc w:val="both"/>
        <w:rPr>
          <w:rFonts w:ascii="Bookman Old Style" w:hAnsi="Bookman Old Style"/>
        </w:rPr>
      </w:pPr>
    </w:p>
    <w:p w:rsidR="004D38D4" w:rsidRPr="00D91A7B" w:rsidRDefault="00EA2E2C" w:rsidP="00990343">
      <w:pPr>
        <w:shd w:val="clear" w:color="auto" w:fill="FFFFFF"/>
        <w:spacing w:after="0" w:line="240" w:lineRule="auto"/>
        <w:jc w:val="both"/>
        <w:rPr>
          <w:rFonts w:ascii="Bookman Old Style" w:hAnsi="Bookman Old Style"/>
          <w:b/>
        </w:rPr>
      </w:pPr>
      <w:r>
        <w:rPr>
          <w:rFonts w:ascii="Bookman Old Style" w:hAnsi="Bookman Old Style"/>
          <w:b/>
        </w:rPr>
        <w:t>4.9</w:t>
      </w:r>
      <w:r w:rsidR="00990343" w:rsidRPr="00D91A7B">
        <w:rPr>
          <w:rFonts w:ascii="Bookman Old Style" w:hAnsi="Bookman Old Style"/>
          <w:b/>
        </w:rPr>
        <w:t xml:space="preserve"> ENHANCEMENT OF CGEGIS COVERAGE</w:t>
      </w:r>
    </w:p>
    <w:p w:rsidR="00696914" w:rsidRPr="00D91A7B" w:rsidRDefault="00574CF4" w:rsidP="00574CF4">
      <w:pPr>
        <w:shd w:val="clear" w:color="auto" w:fill="FFFFFF"/>
        <w:spacing w:after="0" w:line="240" w:lineRule="auto"/>
        <w:ind w:firstLine="720"/>
        <w:jc w:val="both"/>
        <w:rPr>
          <w:rFonts w:ascii="Bookman Old Style" w:hAnsi="Bookman Old Style"/>
        </w:rPr>
      </w:pPr>
      <w:r w:rsidRPr="00D91A7B">
        <w:rPr>
          <w:rFonts w:ascii="Bookman Old Style" w:hAnsi="Bookman Old Style"/>
        </w:rPr>
        <w:t xml:space="preserve">The Central Government Employees Group Insurance Scheme (CGEGIS) was originally designed to provide a robust, two-fold benefit of insurance cover and a savings fund to employees. However, the rates of subscription and the corresponding insurance coverage amounts have remained static and unrevised for several decades. </w:t>
      </w:r>
    </w:p>
    <w:p w:rsidR="00696914" w:rsidRPr="00D91A7B" w:rsidRDefault="00696914" w:rsidP="00574CF4">
      <w:pPr>
        <w:shd w:val="clear" w:color="auto" w:fill="FFFFFF"/>
        <w:spacing w:after="0" w:line="240" w:lineRule="auto"/>
        <w:ind w:firstLine="720"/>
        <w:jc w:val="both"/>
        <w:rPr>
          <w:rFonts w:ascii="Bookman Old Style" w:hAnsi="Bookman Old Style"/>
        </w:rPr>
      </w:pPr>
      <w:r w:rsidRPr="00D91A7B">
        <w:rPr>
          <w:rFonts w:ascii="Bookman Old Style" w:hAnsi="Bookman Old Style"/>
        </w:rPr>
        <w:t xml:space="preserve">The current CGEGIS subscription and insurance coverage for Central Government employees </w:t>
      </w:r>
      <w:r w:rsidR="00FC095B" w:rsidRPr="00D91A7B">
        <w:rPr>
          <w:rFonts w:ascii="Bookman Old Style" w:hAnsi="Bookman Old Style"/>
        </w:rPr>
        <w:t>is</w:t>
      </w:r>
      <w:r w:rsidRPr="00D91A7B">
        <w:rPr>
          <w:rFonts w:ascii="Bookman Old Style" w:hAnsi="Bookman Old Style"/>
        </w:rPr>
        <w:t xml:space="preserve"> </w:t>
      </w:r>
      <w:r w:rsidR="00FC095B" w:rsidRPr="00D91A7B">
        <w:rPr>
          <w:rFonts w:ascii="Bookman Old Style" w:hAnsi="Bookman Old Style"/>
        </w:rPr>
        <w:t>as follows</w:t>
      </w:r>
      <w:r w:rsidRPr="00D91A7B">
        <w:rPr>
          <w:rFonts w:ascii="Bookman Old Style" w:hAnsi="Bookman Old Style"/>
        </w:rPr>
        <w:t>.</w:t>
      </w:r>
    </w:p>
    <w:p w:rsidR="00FC095B" w:rsidRPr="00D91A7B" w:rsidRDefault="00FC095B" w:rsidP="00574CF4">
      <w:pPr>
        <w:shd w:val="clear" w:color="auto" w:fill="FFFFFF"/>
        <w:spacing w:after="0" w:line="240" w:lineRule="auto"/>
        <w:ind w:firstLine="720"/>
        <w:jc w:val="both"/>
        <w:rPr>
          <w:rFonts w:ascii="Bookman Old Style" w:hAnsi="Bookman Old Style"/>
        </w:rPr>
      </w:pPr>
    </w:p>
    <w:tbl>
      <w:tblPr>
        <w:tblStyle w:val="TableGrid"/>
        <w:tblW w:w="0" w:type="auto"/>
        <w:tblLook w:val="04A0" w:firstRow="1" w:lastRow="0" w:firstColumn="1" w:lastColumn="0" w:noHBand="0" w:noVBand="1"/>
      </w:tblPr>
      <w:tblGrid>
        <w:gridCol w:w="1847"/>
        <w:gridCol w:w="1936"/>
        <w:gridCol w:w="1702"/>
        <w:gridCol w:w="1447"/>
        <w:gridCol w:w="2084"/>
      </w:tblGrid>
      <w:tr w:rsidR="00097B8A" w:rsidRPr="00D91A7B" w:rsidTr="00A51782">
        <w:tc>
          <w:tcPr>
            <w:tcW w:w="0" w:type="auto"/>
            <w:vAlign w:val="center"/>
          </w:tcPr>
          <w:p w:rsidR="00097B8A" w:rsidRPr="00FC095B" w:rsidRDefault="00097B8A" w:rsidP="00097B8A">
            <w:pPr>
              <w:jc w:val="center"/>
              <w:rPr>
                <w:rFonts w:ascii="Bookman Old Style" w:eastAsia="Times New Roman" w:hAnsi="Bookman Old Style" w:cs="Times New Roman"/>
                <w:b/>
                <w:bCs/>
                <w:lang w:eastAsia="en-IN"/>
              </w:rPr>
            </w:pPr>
            <w:r w:rsidRPr="00FC095B">
              <w:rPr>
                <w:rFonts w:ascii="Bookman Old Style" w:eastAsia="Times New Roman" w:hAnsi="Bookman Old Style" w:cs="Times New Roman"/>
                <w:b/>
                <w:bCs/>
                <w:lang w:eastAsia="en-IN"/>
              </w:rPr>
              <w:lastRenderedPageBreak/>
              <w:t>Category</w:t>
            </w:r>
          </w:p>
        </w:tc>
        <w:tc>
          <w:tcPr>
            <w:tcW w:w="0" w:type="auto"/>
            <w:vAlign w:val="center"/>
          </w:tcPr>
          <w:p w:rsidR="00097B8A" w:rsidRPr="00FC095B" w:rsidRDefault="00097B8A" w:rsidP="00097B8A">
            <w:pPr>
              <w:jc w:val="center"/>
              <w:rPr>
                <w:rFonts w:ascii="Bookman Old Style" w:eastAsia="Times New Roman" w:hAnsi="Bookman Old Style" w:cs="Times New Roman"/>
                <w:b/>
                <w:bCs/>
                <w:lang w:eastAsia="en-IN"/>
              </w:rPr>
            </w:pPr>
            <w:r w:rsidRPr="00FC095B">
              <w:rPr>
                <w:rFonts w:ascii="Bookman Old Style" w:eastAsia="Times New Roman" w:hAnsi="Bookman Old Style" w:cs="Times New Roman"/>
                <w:b/>
                <w:bCs/>
                <w:lang w:eastAsia="en-IN"/>
              </w:rPr>
              <w:t>Monthly Subscription</w:t>
            </w:r>
          </w:p>
        </w:tc>
        <w:tc>
          <w:tcPr>
            <w:tcW w:w="0" w:type="auto"/>
            <w:vAlign w:val="center"/>
          </w:tcPr>
          <w:p w:rsidR="00097B8A" w:rsidRPr="00FC095B" w:rsidRDefault="00097B8A" w:rsidP="00097B8A">
            <w:pPr>
              <w:jc w:val="center"/>
              <w:rPr>
                <w:rFonts w:ascii="Bookman Old Style" w:eastAsia="Times New Roman" w:hAnsi="Bookman Old Style" w:cs="Times New Roman"/>
                <w:b/>
                <w:bCs/>
                <w:lang w:eastAsia="en-IN"/>
              </w:rPr>
            </w:pPr>
            <w:r w:rsidRPr="00FC095B">
              <w:rPr>
                <w:rFonts w:ascii="Bookman Old Style" w:eastAsia="Times New Roman" w:hAnsi="Bookman Old Style" w:cs="Times New Roman"/>
                <w:b/>
                <w:bCs/>
                <w:lang w:eastAsia="en-IN"/>
              </w:rPr>
              <w:t>Insurance Fund (30%)</w:t>
            </w:r>
          </w:p>
        </w:tc>
        <w:tc>
          <w:tcPr>
            <w:tcW w:w="0" w:type="auto"/>
            <w:vAlign w:val="center"/>
          </w:tcPr>
          <w:p w:rsidR="00097B8A" w:rsidRPr="00FC095B" w:rsidRDefault="00097B8A" w:rsidP="00097B8A">
            <w:pPr>
              <w:jc w:val="center"/>
              <w:rPr>
                <w:rFonts w:ascii="Bookman Old Style" w:eastAsia="Times New Roman" w:hAnsi="Bookman Old Style" w:cs="Times New Roman"/>
                <w:b/>
                <w:bCs/>
                <w:lang w:eastAsia="en-IN"/>
              </w:rPr>
            </w:pPr>
            <w:r w:rsidRPr="00FC095B">
              <w:rPr>
                <w:rFonts w:ascii="Bookman Old Style" w:eastAsia="Times New Roman" w:hAnsi="Bookman Old Style" w:cs="Times New Roman"/>
                <w:b/>
                <w:bCs/>
                <w:lang w:eastAsia="en-IN"/>
              </w:rPr>
              <w:t>Savings Fund (70%)</w:t>
            </w:r>
          </w:p>
        </w:tc>
        <w:tc>
          <w:tcPr>
            <w:tcW w:w="0" w:type="auto"/>
            <w:vAlign w:val="center"/>
          </w:tcPr>
          <w:p w:rsidR="00097B8A" w:rsidRPr="00FC095B" w:rsidRDefault="00097B8A" w:rsidP="00097B8A">
            <w:pPr>
              <w:jc w:val="center"/>
              <w:rPr>
                <w:rFonts w:ascii="Bookman Old Style" w:eastAsia="Times New Roman" w:hAnsi="Bookman Old Style" w:cs="Times New Roman"/>
                <w:b/>
                <w:bCs/>
                <w:lang w:eastAsia="en-IN"/>
              </w:rPr>
            </w:pPr>
            <w:r w:rsidRPr="00FC095B">
              <w:rPr>
                <w:rFonts w:ascii="Bookman Old Style" w:eastAsia="Times New Roman" w:hAnsi="Bookman Old Style" w:cs="Times New Roman"/>
                <w:b/>
                <w:bCs/>
                <w:lang w:eastAsia="en-IN"/>
              </w:rPr>
              <w:t>Insurance Cover (Death in Service)</w:t>
            </w:r>
          </w:p>
        </w:tc>
      </w:tr>
      <w:tr w:rsidR="00097B8A" w:rsidRPr="00D91A7B" w:rsidTr="00A51782">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Bookman Old Style" w:eastAsia="Times New Roman" w:hAnsi="Bookman Old Style" w:cs="Times New Roman"/>
                <w:lang w:eastAsia="en-IN"/>
              </w:rPr>
              <w:t>Group A (Pay Level 10 &amp; above)</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120</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36</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84</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1,20,000</w:t>
            </w:r>
          </w:p>
        </w:tc>
      </w:tr>
      <w:tr w:rsidR="00097B8A" w:rsidRPr="00D91A7B" w:rsidTr="00A51782">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Bookman Old Style" w:eastAsia="Times New Roman" w:hAnsi="Bookman Old Style" w:cs="Times New Roman"/>
                <w:lang w:eastAsia="en-IN"/>
              </w:rPr>
              <w:t>Group B (Pay Levels 6–9)</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60</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18</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42</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60,000</w:t>
            </w:r>
          </w:p>
        </w:tc>
      </w:tr>
      <w:tr w:rsidR="00097B8A" w:rsidRPr="00D91A7B" w:rsidTr="00A51782">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Bookman Old Style" w:eastAsia="Times New Roman" w:hAnsi="Bookman Old Style" w:cs="Times New Roman"/>
                <w:lang w:eastAsia="en-IN"/>
              </w:rPr>
              <w:t>Group C (Pay Levels 1–5)</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30</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9</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21</w:t>
            </w:r>
          </w:p>
        </w:tc>
        <w:tc>
          <w:tcPr>
            <w:tcW w:w="0" w:type="auto"/>
            <w:vAlign w:val="center"/>
          </w:tcPr>
          <w:p w:rsidR="00097B8A" w:rsidRPr="00FC095B" w:rsidRDefault="00097B8A" w:rsidP="00097B8A">
            <w:pPr>
              <w:rPr>
                <w:rFonts w:ascii="Bookman Old Style" w:eastAsia="Times New Roman" w:hAnsi="Bookman Old Style" w:cs="Times New Roman"/>
                <w:lang w:eastAsia="en-IN"/>
              </w:rPr>
            </w:pPr>
            <w:r w:rsidRPr="00FC095B">
              <w:rPr>
                <w:rFonts w:ascii="Times New Roman" w:eastAsia="Times New Roman" w:hAnsi="Times New Roman" w:cs="Times New Roman"/>
                <w:lang w:eastAsia="en-IN"/>
              </w:rPr>
              <w:t>₹</w:t>
            </w:r>
            <w:r w:rsidRPr="00FC095B">
              <w:rPr>
                <w:rFonts w:ascii="Bookman Old Style" w:eastAsia="Times New Roman" w:hAnsi="Bookman Old Style" w:cs="Times New Roman"/>
                <w:lang w:eastAsia="en-IN"/>
              </w:rPr>
              <w:t>30,000</w:t>
            </w:r>
          </w:p>
        </w:tc>
      </w:tr>
    </w:tbl>
    <w:p w:rsidR="00097B8A" w:rsidRPr="00D91A7B" w:rsidRDefault="00097B8A" w:rsidP="00574CF4">
      <w:pPr>
        <w:shd w:val="clear" w:color="auto" w:fill="FFFFFF"/>
        <w:spacing w:after="0" w:line="240" w:lineRule="auto"/>
        <w:ind w:firstLine="720"/>
        <w:jc w:val="both"/>
        <w:rPr>
          <w:rFonts w:ascii="Bookman Old Style" w:hAnsi="Bookman Old Style"/>
        </w:rPr>
      </w:pPr>
    </w:p>
    <w:p w:rsidR="00EE0009" w:rsidRDefault="00D91A7B" w:rsidP="00EE0009">
      <w:pPr>
        <w:shd w:val="clear" w:color="auto" w:fill="FFFFFF"/>
        <w:spacing w:after="0" w:line="240" w:lineRule="auto"/>
        <w:ind w:firstLine="720"/>
        <w:jc w:val="both"/>
        <w:rPr>
          <w:rFonts w:ascii="Bookman Old Style" w:hAnsi="Bookman Old Style"/>
        </w:rPr>
      </w:pPr>
      <w:r w:rsidRPr="00D91A7B">
        <w:rPr>
          <w:rFonts w:ascii="Bookman Old Style" w:hAnsi="Bookman Old Style"/>
        </w:rPr>
        <w:t xml:space="preserve">Despite successive recommendations of the 5th, 6th and 7th Central Pay Commissions for periodic review and enhancement of CGEGIS benefits, no substantial upward revision has been implemented. It is therefore strongly urged that the insurance coverage under CGEGIS be enhanced to realistic contemporary levels, with a minimum cover of </w:t>
      </w:r>
      <w:r w:rsidRPr="00D91A7B">
        <w:rPr>
          <w:rFonts w:ascii="Times New Roman" w:hAnsi="Times New Roman" w:cs="Times New Roman"/>
        </w:rPr>
        <w:t>₹</w:t>
      </w:r>
      <w:r w:rsidRPr="00D91A7B">
        <w:rPr>
          <w:rFonts w:ascii="Bookman Old Style" w:hAnsi="Bookman Old Style"/>
        </w:rPr>
        <w:t xml:space="preserve">25 </w:t>
      </w:r>
      <w:proofErr w:type="gramStart"/>
      <w:r w:rsidRPr="00D91A7B">
        <w:rPr>
          <w:rFonts w:ascii="Bookman Old Style" w:hAnsi="Bookman Old Style"/>
        </w:rPr>
        <w:t>lakh</w:t>
      </w:r>
      <w:proofErr w:type="gramEnd"/>
      <w:r w:rsidRPr="00D91A7B">
        <w:rPr>
          <w:rFonts w:ascii="Bookman Old Style" w:hAnsi="Bookman Old Style"/>
        </w:rPr>
        <w:t xml:space="preserve"> for Group </w:t>
      </w:r>
      <w:r w:rsidRPr="00D91A7B">
        <w:rPr>
          <w:rFonts w:ascii="Bookman Old Style" w:hAnsi="Bookman Old Style" w:cs="Bookman Old Style"/>
        </w:rPr>
        <w:t>‘</w:t>
      </w:r>
      <w:r w:rsidRPr="00D91A7B">
        <w:rPr>
          <w:rFonts w:ascii="Bookman Old Style" w:hAnsi="Bookman Old Style"/>
        </w:rPr>
        <w:t>A</w:t>
      </w:r>
      <w:r w:rsidRPr="00D91A7B">
        <w:rPr>
          <w:rFonts w:ascii="Bookman Old Style" w:hAnsi="Bookman Old Style" w:cs="Bookman Old Style"/>
        </w:rPr>
        <w:t>’</w:t>
      </w:r>
      <w:r w:rsidRPr="00D91A7B">
        <w:rPr>
          <w:rFonts w:ascii="Bookman Old Style" w:hAnsi="Bookman Old Style"/>
        </w:rPr>
        <w:t xml:space="preserve"> </w:t>
      </w:r>
      <w:r w:rsidR="00A16875">
        <w:rPr>
          <w:rFonts w:ascii="Bookman Old Style" w:hAnsi="Bookman Old Style"/>
        </w:rPr>
        <w:t xml:space="preserve">and Group B </w:t>
      </w:r>
      <w:r w:rsidRPr="00D91A7B">
        <w:rPr>
          <w:rFonts w:ascii="Bookman Old Style" w:hAnsi="Bookman Old Style"/>
        </w:rPr>
        <w:t>employees</w:t>
      </w:r>
      <w:r w:rsidR="00F50BEA">
        <w:rPr>
          <w:rFonts w:ascii="Bookman Old Style" w:hAnsi="Bookman Old Style"/>
        </w:rPr>
        <w:t xml:space="preserve"> with CGEGIS </w:t>
      </w:r>
      <w:r w:rsidR="00EE208C">
        <w:rPr>
          <w:rFonts w:ascii="Bookman Old Style" w:hAnsi="Bookman Old Style"/>
        </w:rPr>
        <w:t xml:space="preserve">Insurance Premium (30%) </w:t>
      </w:r>
      <w:r w:rsidR="00F50BEA">
        <w:rPr>
          <w:rFonts w:ascii="Bookman Old Style" w:hAnsi="Bookman Old Style"/>
        </w:rPr>
        <w:t xml:space="preserve">of </w:t>
      </w:r>
      <w:proofErr w:type="spellStart"/>
      <w:r w:rsidR="00F50BEA">
        <w:rPr>
          <w:rFonts w:ascii="Bookman Old Style" w:hAnsi="Bookman Old Style"/>
        </w:rPr>
        <w:t>Rs</w:t>
      </w:r>
      <w:proofErr w:type="spellEnd"/>
      <w:r w:rsidR="00F50BEA">
        <w:rPr>
          <w:rFonts w:ascii="Bookman Old Style" w:hAnsi="Bookman Old Style"/>
        </w:rPr>
        <w:t>.</w:t>
      </w:r>
      <w:r w:rsidR="007078BA">
        <w:rPr>
          <w:rFonts w:ascii="Bookman Old Style" w:hAnsi="Bookman Old Style"/>
        </w:rPr>
        <w:t xml:space="preserve"> 300 to </w:t>
      </w:r>
      <w:proofErr w:type="spellStart"/>
      <w:r w:rsidR="007078BA">
        <w:rPr>
          <w:rFonts w:ascii="Bookman Old Style" w:hAnsi="Bookman Old Style"/>
        </w:rPr>
        <w:t>Rs</w:t>
      </w:r>
      <w:proofErr w:type="spellEnd"/>
      <w:r w:rsidR="007078BA">
        <w:rPr>
          <w:rFonts w:ascii="Bookman Old Style" w:hAnsi="Bookman Old Style"/>
        </w:rPr>
        <w:t xml:space="preserve">. </w:t>
      </w:r>
      <w:proofErr w:type="gramStart"/>
      <w:r w:rsidR="007078BA">
        <w:rPr>
          <w:rFonts w:ascii="Bookman Old Style" w:hAnsi="Bookman Old Style"/>
        </w:rPr>
        <w:t>500</w:t>
      </w:r>
      <w:r w:rsidR="00F50BEA">
        <w:rPr>
          <w:rFonts w:ascii="Bookman Old Style" w:hAnsi="Bookman Old Style"/>
        </w:rPr>
        <w:t xml:space="preserve"> </w:t>
      </w:r>
      <w:r w:rsidR="00A16875">
        <w:rPr>
          <w:rFonts w:ascii="Bookman Old Style" w:hAnsi="Bookman Old Style"/>
        </w:rPr>
        <w:t xml:space="preserve"> and</w:t>
      </w:r>
      <w:proofErr w:type="gramEnd"/>
      <w:r w:rsidR="007078BA">
        <w:rPr>
          <w:rFonts w:ascii="Bookman Old Style" w:hAnsi="Bookman Old Style"/>
        </w:rPr>
        <w:t xml:space="preserve"> 20 lakhs for Group C employees with CGEGIS </w:t>
      </w:r>
      <w:r w:rsidR="00EE208C">
        <w:rPr>
          <w:rFonts w:ascii="Bookman Old Style" w:hAnsi="Bookman Old Style"/>
        </w:rPr>
        <w:t xml:space="preserve">Insurance Premium (30%) </w:t>
      </w:r>
      <w:r w:rsidR="007078BA">
        <w:rPr>
          <w:rFonts w:ascii="Bookman Old Style" w:hAnsi="Bookman Old Style"/>
        </w:rPr>
        <w:t xml:space="preserve">of </w:t>
      </w:r>
      <w:proofErr w:type="spellStart"/>
      <w:r w:rsidR="007078BA">
        <w:rPr>
          <w:rFonts w:ascii="Bookman Old Style" w:hAnsi="Bookman Old Style"/>
        </w:rPr>
        <w:t>Rs</w:t>
      </w:r>
      <w:proofErr w:type="spellEnd"/>
      <w:r w:rsidR="007078BA">
        <w:rPr>
          <w:rFonts w:ascii="Bookman Old Style" w:hAnsi="Bookman Old Style"/>
        </w:rPr>
        <w:t xml:space="preserve">. 200 to </w:t>
      </w:r>
      <w:proofErr w:type="spellStart"/>
      <w:r w:rsidR="007078BA">
        <w:rPr>
          <w:rFonts w:ascii="Bookman Old Style" w:hAnsi="Bookman Old Style"/>
        </w:rPr>
        <w:t>Rs</w:t>
      </w:r>
      <w:proofErr w:type="spellEnd"/>
      <w:r w:rsidR="007078BA">
        <w:rPr>
          <w:rFonts w:ascii="Bookman Old Style" w:hAnsi="Bookman Old Style"/>
        </w:rPr>
        <w:t>. 400 and</w:t>
      </w:r>
      <w:r w:rsidR="00304EFA">
        <w:rPr>
          <w:rFonts w:ascii="Bookman Old Style" w:hAnsi="Bookman Old Style"/>
        </w:rPr>
        <w:t xml:space="preserve"> Savings Find may be fixed at 7</w:t>
      </w:r>
      <w:r w:rsidR="00C20D3D">
        <w:rPr>
          <w:rFonts w:ascii="Bookman Old Style" w:hAnsi="Bookman Old Style"/>
        </w:rPr>
        <w:t>0% proportionately. The who</w:t>
      </w:r>
      <w:r w:rsidR="00A54E41">
        <w:rPr>
          <w:rFonts w:ascii="Bookman Old Style" w:hAnsi="Bookman Old Style"/>
        </w:rPr>
        <w:t>le</w:t>
      </w:r>
      <w:r w:rsidR="00C20D3D">
        <w:rPr>
          <w:rFonts w:ascii="Bookman Old Style" w:hAnsi="Bookman Old Style"/>
        </w:rPr>
        <w:t xml:space="preserve"> CG</w:t>
      </w:r>
      <w:r w:rsidR="00304EFA">
        <w:rPr>
          <w:rFonts w:ascii="Bookman Old Style" w:hAnsi="Bookman Old Style"/>
        </w:rPr>
        <w:t>EGIS s</w:t>
      </w:r>
      <w:r w:rsidR="007078BA">
        <w:rPr>
          <w:rFonts w:ascii="Bookman Old Style" w:hAnsi="Bookman Old Style"/>
        </w:rPr>
        <w:t>ubscription may be decided after reviewing local market rates for term insurance</w:t>
      </w:r>
      <w:r w:rsidR="00790979">
        <w:rPr>
          <w:rFonts w:ascii="Bookman Old Style" w:hAnsi="Bookman Old Style"/>
        </w:rPr>
        <w:t xml:space="preserve"> provided by private players </w:t>
      </w:r>
      <w:r w:rsidR="0095562B">
        <w:rPr>
          <w:rFonts w:ascii="Bookman Old Style" w:hAnsi="Bookman Old Style"/>
        </w:rPr>
        <w:t>in respect of Insurance Premium</w:t>
      </w:r>
      <w:r w:rsidR="00790979">
        <w:rPr>
          <w:rFonts w:ascii="Bookman Old Style" w:hAnsi="Bookman Old Style"/>
        </w:rPr>
        <w:t>.</w:t>
      </w:r>
      <w:r w:rsidR="0030558B">
        <w:rPr>
          <w:rFonts w:ascii="Bookman Old Style" w:hAnsi="Bookman Old Style"/>
        </w:rPr>
        <w:t xml:space="preserve"> In add</w:t>
      </w:r>
      <w:r w:rsidR="0095562B">
        <w:rPr>
          <w:rFonts w:ascii="Bookman Old Style" w:hAnsi="Bookman Old Style"/>
        </w:rPr>
        <w:t>ition to Term Insurance rates (3</w:t>
      </w:r>
      <w:r w:rsidR="0030558B">
        <w:rPr>
          <w:rFonts w:ascii="Bookman Old Style" w:hAnsi="Bookman Old Style"/>
        </w:rPr>
        <w:t>0%), Savings Fund</w:t>
      </w:r>
      <w:r w:rsidR="0095562B">
        <w:rPr>
          <w:rFonts w:ascii="Bookman Old Style" w:hAnsi="Bookman Old Style"/>
        </w:rPr>
        <w:t xml:space="preserve"> (7</w:t>
      </w:r>
      <w:r w:rsidR="0030558B">
        <w:rPr>
          <w:rFonts w:ascii="Bookman Old Style" w:hAnsi="Bookman Old Style"/>
        </w:rPr>
        <w:t>0%) premium may be proportionately fixed.</w:t>
      </w:r>
    </w:p>
    <w:p w:rsidR="00EE0009" w:rsidRDefault="00EE0009" w:rsidP="00EE0009">
      <w:pPr>
        <w:shd w:val="clear" w:color="auto" w:fill="FFFFFF"/>
        <w:spacing w:after="0" w:line="240" w:lineRule="auto"/>
        <w:jc w:val="both"/>
        <w:rPr>
          <w:rFonts w:ascii="Bookman Old Style" w:hAnsi="Bookman Old Style"/>
        </w:rPr>
      </w:pPr>
    </w:p>
    <w:p w:rsidR="00EE0009" w:rsidRDefault="00EE0009" w:rsidP="00EE0009">
      <w:pPr>
        <w:shd w:val="clear" w:color="auto" w:fill="FFFFFF"/>
        <w:spacing w:after="0" w:line="240" w:lineRule="auto"/>
        <w:jc w:val="both"/>
        <w:rPr>
          <w:rFonts w:ascii="Bookman Old Style" w:hAnsi="Bookman Old Style"/>
        </w:rPr>
      </w:pPr>
    </w:p>
    <w:p w:rsidR="00782275" w:rsidRDefault="005E6CCA" w:rsidP="00EE0009">
      <w:pPr>
        <w:shd w:val="clear" w:color="auto" w:fill="FFFFFF"/>
        <w:spacing w:after="0" w:line="240" w:lineRule="auto"/>
        <w:jc w:val="both"/>
        <w:rPr>
          <w:rFonts w:ascii="Bookman Old Style" w:eastAsia="Times New Roman" w:hAnsi="Bookman Old Style" w:cs="Arial"/>
          <w:b/>
          <w:bCs/>
          <w:color w:val="333333"/>
          <w:highlight w:val="yellow"/>
          <w:lang w:eastAsia="en-IN"/>
        </w:rPr>
      </w:pPr>
      <w:r w:rsidRPr="00084E3D">
        <w:rPr>
          <w:rFonts w:ascii="Bookman Old Style" w:hAnsi="Bookman Old Style"/>
          <w:b/>
          <w:highlight w:val="yellow"/>
        </w:rPr>
        <w:t>5</w:t>
      </w:r>
      <w:r w:rsidR="005F7C86" w:rsidRPr="00084E3D">
        <w:rPr>
          <w:rFonts w:ascii="Bookman Old Style" w:eastAsia="Times New Roman" w:hAnsi="Bookman Old Style" w:cs="Arial"/>
          <w:b/>
          <w:bCs/>
          <w:color w:val="333333"/>
          <w:highlight w:val="yellow"/>
          <w:lang w:eastAsia="en-IN"/>
        </w:rPr>
        <w:t xml:space="preserve">- </w:t>
      </w:r>
      <w:r w:rsidR="00C45DB9" w:rsidRPr="00084E3D">
        <w:rPr>
          <w:rFonts w:ascii="Bookman Old Style" w:eastAsia="Times New Roman" w:hAnsi="Bookman Old Style" w:cs="Arial"/>
          <w:b/>
          <w:bCs/>
          <w:color w:val="333333"/>
          <w:highlight w:val="yellow"/>
          <w:lang w:eastAsia="en-IN"/>
        </w:rPr>
        <w:t>Performance Incentive</w:t>
      </w:r>
    </w:p>
    <w:p w:rsidR="00B07446" w:rsidRPr="005E6CCA" w:rsidRDefault="00C45DB9" w:rsidP="00EE0009">
      <w:pPr>
        <w:shd w:val="clear" w:color="auto" w:fill="FFFFFF"/>
        <w:spacing w:after="0" w:line="240" w:lineRule="auto"/>
        <w:jc w:val="both"/>
        <w:rPr>
          <w:rFonts w:ascii="Bookman Old Style" w:hAnsi="Bookman Old Style"/>
        </w:rPr>
      </w:pPr>
      <w:r w:rsidRPr="00084E3D">
        <w:rPr>
          <w:rFonts w:ascii="Bookman Old Style" w:eastAsia="Times New Roman" w:hAnsi="Bookman Old Style" w:cs="Arial"/>
          <w:b/>
          <w:bCs/>
          <w:color w:val="333333"/>
          <w:highlight w:val="yellow"/>
          <w:lang w:eastAsia="en-IN"/>
        </w:rPr>
        <w:t xml:space="preserve">Q5. What concerns / views do you face related to Performance </w:t>
      </w:r>
      <w:r w:rsidRPr="005E6CCA">
        <w:rPr>
          <w:rFonts w:ascii="Bookman Old Style" w:eastAsia="Times New Roman" w:hAnsi="Bookman Old Style" w:cs="Arial"/>
          <w:b/>
          <w:bCs/>
          <w:color w:val="333333"/>
          <w:highlight w:val="yellow"/>
          <w:lang w:eastAsia="en-IN"/>
        </w:rPr>
        <w:t>Incentive?</w:t>
      </w:r>
      <w:r w:rsidR="006376BC" w:rsidRPr="005E6CCA">
        <w:rPr>
          <w:rFonts w:ascii="Bookman Old Style" w:eastAsia="Times New Roman" w:hAnsi="Bookman Old Style" w:cs="Arial"/>
          <w:b/>
          <w:bCs/>
          <w:color w:val="333333"/>
          <w:lang w:eastAsia="en-IN"/>
        </w:rPr>
        <w:t xml:space="preserve"> </w:t>
      </w:r>
      <w:r w:rsidR="00782275">
        <w:rPr>
          <w:rFonts w:ascii="Bookman Old Style" w:eastAsia="Times New Roman" w:hAnsi="Bookman Old Style" w:cs="Arial"/>
          <w:b/>
          <w:bCs/>
          <w:color w:val="333333"/>
          <w:lang w:eastAsia="en-IN"/>
        </w:rPr>
        <w:t>(3248 Characters)</w:t>
      </w:r>
    </w:p>
    <w:p w:rsidR="008363C9" w:rsidRPr="00736260" w:rsidRDefault="00B304A1" w:rsidP="00D925C9">
      <w:pPr>
        <w:shd w:val="clear" w:color="auto" w:fill="FFFFFF"/>
        <w:spacing w:after="0" w:line="240" w:lineRule="auto"/>
        <w:jc w:val="both"/>
        <w:rPr>
          <w:rFonts w:ascii="Bookman Old Style" w:eastAsia="Times New Roman" w:hAnsi="Bookman Old Style" w:cs="Arial"/>
          <w:color w:val="333333"/>
          <w:lang w:eastAsia="en-IN"/>
        </w:rPr>
      </w:pPr>
      <w:r>
        <w:rPr>
          <w:rFonts w:ascii="Bookman Old Style" w:eastAsia="Times New Roman" w:hAnsi="Bookman Old Style" w:cs="Arial"/>
          <w:b/>
          <w:bCs/>
          <w:color w:val="333333"/>
          <w:lang w:eastAsia="en-IN"/>
        </w:rPr>
        <w:t xml:space="preserve"> </w:t>
      </w:r>
      <w:r w:rsidR="003A223D">
        <w:rPr>
          <w:rFonts w:ascii="Bookman Old Style" w:eastAsia="Times New Roman" w:hAnsi="Bookman Old Style" w:cs="Arial"/>
          <w:b/>
          <w:bCs/>
          <w:color w:val="333333"/>
          <w:lang w:eastAsia="en-IN"/>
        </w:rPr>
        <w:t xml:space="preserve"> </w:t>
      </w:r>
    </w:p>
    <w:p w:rsidR="00040DB1" w:rsidRPr="00736260" w:rsidRDefault="00040DB1" w:rsidP="00040DB1">
      <w:pPr>
        <w:pStyle w:val="NormalWeb"/>
        <w:spacing w:before="0" w:beforeAutospacing="0" w:after="0" w:afterAutospacing="0"/>
        <w:jc w:val="both"/>
        <w:rPr>
          <w:rFonts w:ascii="Bookman Old Style" w:hAnsi="Bookman Old Style"/>
          <w:sz w:val="22"/>
          <w:szCs w:val="22"/>
        </w:rPr>
      </w:pPr>
      <w:r w:rsidRPr="00736260">
        <w:rPr>
          <w:rFonts w:ascii="Bookman Old Style" w:hAnsi="Bookman Old Style"/>
          <w:b/>
          <w:sz w:val="22"/>
          <w:szCs w:val="22"/>
        </w:rPr>
        <w:t>5.</w:t>
      </w:r>
      <w:r w:rsidR="00537D91">
        <w:rPr>
          <w:rFonts w:ascii="Bookman Old Style" w:hAnsi="Bookman Old Style"/>
          <w:b/>
          <w:sz w:val="22"/>
          <w:szCs w:val="22"/>
        </w:rPr>
        <w:t>1</w:t>
      </w:r>
      <w:r w:rsidRPr="00736260">
        <w:rPr>
          <w:rFonts w:ascii="Bookman Old Style" w:hAnsi="Bookman Old Style"/>
          <w:b/>
          <w:sz w:val="22"/>
          <w:szCs w:val="22"/>
        </w:rPr>
        <w:t xml:space="preserve"> PERFORMANCE INCENTIVE: ENCOURAGING PROFESSIONAL EXCELLENCE THROUGH INCREMENT SCHEMES</w:t>
      </w:r>
    </w:p>
    <w:p w:rsidR="00FA1A82" w:rsidRDefault="00040DB1" w:rsidP="00FA1A82">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Earlier, the Government incentivized professional qualifications like CMA, CA, and CFA through advance increments, recognizing their long-term value to public administration. However, after </w:t>
      </w:r>
      <w:proofErr w:type="spellStart"/>
      <w:r w:rsidRPr="00736260">
        <w:rPr>
          <w:rFonts w:ascii="Bookman Old Style" w:eastAsia="Times New Roman" w:hAnsi="Bookman Old Style" w:cs="Times New Roman"/>
          <w:lang w:eastAsia="en-IN"/>
        </w:rPr>
        <w:t>DoPT</w:t>
      </w:r>
      <w:proofErr w:type="spellEnd"/>
      <w:r w:rsidRPr="00736260">
        <w:rPr>
          <w:rFonts w:ascii="Bookman Old Style" w:eastAsia="Times New Roman" w:hAnsi="Bookman Old Style" w:cs="Times New Roman"/>
          <w:lang w:eastAsia="en-IN"/>
        </w:rPr>
        <w:t xml:space="preserve"> O.M. dated 31.01.1995 and subsequent 7th CPC changes (O.M. dated 15.03.2019), this was replaced with a one-time lump-sum incentive. This shift has weakened motivation, as a small one-time payment does not reflect the enduring value of such rigorous qualifications. Officers of the Organized Accounts Cadre are technical specialists engaged in costing, internal audit, and complex financial management. Acquiring qualifications like CMA or CA directly enhances their ability to manage public expenditure and strengthen financial control. The current incentive of </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10,000</w:t>
      </w:r>
      <w:r w:rsidRPr="00736260">
        <w:rPr>
          <w:rFonts w:ascii="Bookman Old Style" w:eastAsia="Times New Roman" w:hAnsi="Bookman Old Style" w:cs="Bookman Old Style"/>
          <w:lang w:eastAsia="en-IN"/>
        </w:rPr>
        <w:t>–</w:t>
      </w:r>
      <w:r w:rsidRPr="00736260">
        <w:rPr>
          <w:rFonts w:ascii="Times New Roman" w:eastAsia="Times New Roman" w:hAnsi="Times New Roman" w:cs="Times New Roman"/>
          <w:lang w:eastAsia="en-IN"/>
        </w:rPr>
        <w:t>₹</w:t>
      </w:r>
      <w:r w:rsidRPr="00736260">
        <w:rPr>
          <w:rFonts w:ascii="Bookman Old Style" w:eastAsia="Times New Roman" w:hAnsi="Bookman Old Style" w:cs="Times New Roman"/>
          <w:lang w:eastAsia="en-IN"/>
        </w:rPr>
        <w:t>30,000 is inadequate compared to the effort and expertise involved. It is therefore proposed that the 8th CPC restore a “Professional Increment Scheme,” granting two additional increments to officers who acquire such qualifications during service. These increments should be treated as substantive and counted for all purposes, including p</w:t>
      </w:r>
      <w:r w:rsidR="00FA1A82">
        <w:rPr>
          <w:rFonts w:ascii="Bookman Old Style" w:eastAsia="Times New Roman" w:hAnsi="Bookman Old Style" w:cs="Times New Roman"/>
          <w:lang w:eastAsia="en-IN"/>
        </w:rPr>
        <w:t>ension and future pay fixation.</w:t>
      </w:r>
    </w:p>
    <w:p w:rsidR="002D5A32" w:rsidRDefault="002D5A32" w:rsidP="00FA1A82">
      <w:pPr>
        <w:spacing w:after="0" w:line="240" w:lineRule="auto"/>
        <w:jc w:val="both"/>
        <w:rPr>
          <w:rFonts w:ascii="Bookman Old Style" w:eastAsia="Times New Roman" w:hAnsi="Bookman Old Style" w:cs="Times New Roman"/>
          <w:lang w:eastAsia="en-IN"/>
        </w:rPr>
      </w:pPr>
    </w:p>
    <w:p w:rsidR="002D5A32" w:rsidRDefault="002D5A32" w:rsidP="00FA1A82">
      <w:pPr>
        <w:spacing w:after="0" w:line="240" w:lineRule="auto"/>
        <w:jc w:val="both"/>
        <w:rPr>
          <w:rFonts w:ascii="Bookman Old Style" w:eastAsia="Times New Roman" w:hAnsi="Bookman Old Style" w:cs="Times New Roman"/>
          <w:lang w:eastAsia="en-IN"/>
        </w:rPr>
      </w:pPr>
    </w:p>
    <w:p w:rsidR="00537D91" w:rsidRPr="00FA1A82" w:rsidRDefault="00537D91" w:rsidP="002D5A32">
      <w:pPr>
        <w:spacing w:after="0" w:line="240" w:lineRule="auto"/>
        <w:jc w:val="both"/>
        <w:rPr>
          <w:rFonts w:ascii="Bookman Old Style" w:eastAsia="Times New Roman" w:hAnsi="Bookman Old Style" w:cs="Times New Roman"/>
          <w:b/>
          <w:lang w:eastAsia="en-IN"/>
        </w:rPr>
      </w:pPr>
      <w:r w:rsidRPr="00FA1A82">
        <w:rPr>
          <w:rFonts w:ascii="Bookman Old Style" w:hAnsi="Bookman Old Style"/>
          <w:b/>
        </w:rPr>
        <w:t>5.2 PROPOSAL FOR INTRODUCTION OF CONTINUOUS PROFESSIONAL DEVELOPMENT (CPD) EXAMINATIONS AND INCENTIVES</w:t>
      </w:r>
    </w:p>
    <w:p w:rsidR="00F65BD9" w:rsidRDefault="00537D91" w:rsidP="00F65BD9">
      <w:pPr>
        <w:pStyle w:val="NormalWeb"/>
        <w:spacing w:before="0" w:beforeAutospacing="0" w:after="0" w:afterAutospacing="0"/>
        <w:ind w:firstLine="720"/>
        <w:jc w:val="both"/>
        <w:rPr>
          <w:rFonts w:ascii="Bookman Old Style" w:hAnsi="Bookman Old Style"/>
          <w:sz w:val="22"/>
          <w:szCs w:val="22"/>
        </w:rPr>
      </w:pPr>
      <w:r w:rsidRPr="00537D91">
        <w:rPr>
          <w:rFonts w:ascii="Bookman Old Style" w:hAnsi="Bookman Old Style"/>
          <w:sz w:val="22"/>
          <w:szCs w:val="22"/>
        </w:rPr>
        <w:t xml:space="preserve">To ensure continuous upskilling and mitigate stagnation at middle-management levels, we strongly propose the introduction of a Continuous Professional Development (CPD) framework across all Organized Accounts Departments. Currently, officers at the Assistant Accounts Officer (AAO) and Senior Accounts Officer (SAO) levels often face extended periods without horizontal or </w:t>
      </w:r>
      <w:r w:rsidRPr="00537D91">
        <w:rPr>
          <w:rFonts w:ascii="Bookman Old Style" w:hAnsi="Bookman Old Style"/>
          <w:sz w:val="22"/>
          <w:szCs w:val="22"/>
        </w:rPr>
        <w:lastRenderedPageBreak/>
        <w:t>vertical career progression, leading to a natural plateau in motivation. A highly effective and proven model to resolve this issue already exists within the Indian Audit and Accounts Department (IA&amp;AD). The Comptroller and Auditor General (C&amp;AG) has successfully implemented a scheme of Continuous Professional Development (CPD) tests for its Senior Audit Officers and Audit Officers. These structured examinations—categorized into CPD-I, CPD-II, and CPD-III tiers—are conducted periodically to evaluate officers on foundational basics as well as advanced, contemporary topics. Crucially, the successful clearance of a CPD examination within the C&amp;AG framework is directly incentivized through the granting of an advance increment. Extending this exact CPD framework and its associated financial incentives to all other Organized Accounts Departments would serve as a powerful catalyst for organizational capacity building. By linking professional development with tangible rewards, the administration can cultivate a dynamic culture of lifelong learning and technical excellence among its accounting professionals. We strongly urge the 8th Central Pay Commission to recommend the pan-government implementation of this CPD examination system, including the provision for advance increments, for all AAOs and SAOs across the Civil, Defence, Railway, and Postal/Telecom accounts cadres. This progressive measure will decisively boost employee morale while ensuring the Union Government maintains a highly competent, future-ready accounting workforce</w:t>
      </w:r>
    </w:p>
    <w:p w:rsidR="00F65BD9" w:rsidRDefault="00F65BD9" w:rsidP="00F65BD9">
      <w:pPr>
        <w:pStyle w:val="NormalWeb"/>
        <w:spacing w:before="0" w:beforeAutospacing="0" w:after="0" w:afterAutospacing="0"/>
        <w:jc w:val="both"/>
        <w:rPr>
          <w:rFonts w:ascii="Bookman Old Style" w:hAnsi="Bookman Old Style"/>
          <w:sz w:val="22"/>
          <w:szCs w:val="22"/>
        </w:rPr>
      </w:pPr>
    </w:p>
    <w:p w:rsidR="00F65BD9" w:rsidRDefault="00F65BD9" w:rsidP="00F65BD9">
      <w:pPr>
        <w:pStyle w:val="NormalWeb"/>
        <w:spacing w:before="0" w:beforeAutospacing="0" w:after="0" w:afterAutospacing="0"/>
        <w:jc w:val="both"/>
        <w:rPr>
          <w:rFonts w:ascii="Bookman Old Style" w:hAnsi="Bookman Old Style"/>
          <w:sz w:val="22"/>
          <w:szCs w:val="22"/>
        </w:rPr>
      </w:pPr>
    </w:p>
    <w:p w:rsidR="00C45DB9" w:rsidRPr="00F65BD9" w:rsidRDefault="00D92FAA" w:rsidP="00F65BD9">
      <w:pPr>
        <w:pStyle w:val="NormalWeb"/>
        <w:spacing w:before="0" w:beforeAutospacing="0" w:after="0" w:afterAutospacing="0"/>
        <w:jc w:val="both"/>
        <w:rPr>
          <w:rFonts w:ascii="Bookman Old Style" w:hAnsi="Bookman Old Style"/>
          <w:sz w:val="22"/>
          <w:szCs w:val="22"/>
        </w:rPr>
      </w:pPr>
      <w:r w:rsidRPr="00736260">
        <w:rPr>
          <w:rFonts w:ascii="Bookman Old Style" w:hAnsi="Bookman Old Style" w:cs="Arial"/>
          <w:b/>
          <w:bCs/>
          <w:color w:val="333333"/>
          <w:highlight w:val="yellow"/>
        </w:rPr>
        <w:t>6</w:t>
      </w:r>
      <w:r w:rsidR="00C649FF" w:rsidRPr="00736260">
        <w:rPr>
          <w:rFonts w:ascii="Bookman Old Style" w:hAnsi="Bookman Old Style" w:cs="Arial"/>
          <w:b/>
          <w:bCs/>
          <w:color w:val="333333"/>
          <w:highlight w:val="yellow"/>
        </w:rPr>
        <w:t xml:space="preserve"> - </w:t>
      </w:r>
      <w:r w:rsidRPr="00736260">
        <w:rPr>
          <w:rFonts w:ascii="Bookman Old Style" w:hAnsi="Bookman Old Style" w:cs="Arial"/>
          <w:b/>
          <w:bCs/>
          <w:color w:val="333333"/>
          <w:highlight w:val="yellow"/>
        </w:rPr>
        <w:t>EMPANELMENT / POSTINGS IN GOI</w:t>
      </w:r>
    </w:p>
    <w:p w:rsidR="00B07446" w:rsidRPr="00C14FD8" w:rsidRDefault="00C45DB9" w:rsidP="00B07446">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Q6. What concerns / views do you face related to Empanelment / Postings in GOI?</w:t>
      </w:r>
      <w:r w:rsidR="00584375">
        <w:rPr>
          <w:rFonts w:ascii="Bookman Old Style" w:eastAsia="Times New Roman" w:hAnsi="Bookman Old Style" w:cs="Arial"/>
          <w:b/>
          <w:bCs/>
          <w:color w:val="333333"/>
          <w:lang w:eastAsia="en-IN"/>
        </w:rPr>
        <w:t xml:space="preserve"> </w:t>
      </w:r>
      <w:r w:rsidR="004D2D80">
        <w:rPr>
          <w:rFonts w:ascii="Bookman Old Style" w:eastAsia="Times New Roman" w:hAnsi="Bookman Old Style" w:cs="Arial"/>
          <w:b/>
          <w:bCs/>
          <w:color w:val="333333"/>
          <w:lang w:eastAsia="en-IN"/>
        </w:rPr>
        <w:t xml:space="preserve"> </w:t>
      </w:r>
      <w:r w:rsidR="00394ED0">
        <w:rPr>
          <w:rFonts w:ascii="Bookman Old Style" w:eastAsia="Times New Roman" w:hAnsi="Bookman Old Style" w:cs="Arial"/>
          <w:b/>
          <w:bCs/>
          <w:color w:val="333333"/>
          <w:lang w:eastAsia="en-IN"/>
        </w:rPr>
        <w:t>(1103 Characters)</w:t>
      </w:r>
    </w:p>
    <w:p w:rsidR="00584375" w:rsidRPr="006376BC" w:rsidRDefault="00584375" w:rsidP="00584375">
      <w:pPr>
        <w:shd w:val="clear" w:color="auto" w:fill="FFFFFF"/>
        <w:spacing w:after="0" w:line="240" w:lineRule="auto"/>
        <w:jc w:val="both"/>
        <w:rPr>
          <w:rFonts w:ascii="Bookman Old Style" w:eastAsia="Times New Roman" w:hAnsi="Bookman Old Style" w:cs="Arial"/>
          <w:b/>
          <w:bCs/>
          <w:color w:val="333333"/>
          <w:sz w:val="30"/>
          <w:lang w:eastAsia="en-IN"/>
        </w:rPr>
      </w:pPr>
    </w:p>
    <w:p w:rsidR="006C1EDA" w:rsidRPr="00736260" w:rsidRDefault="00AE7B48" w:rsidP="00915D7D">
      <w:pPr>
        <w:pStyle w:val="NormalWeb"/>
        <w:spacing w:before="0" w:beforeAutospacing="0" w:after="0" w:afterAutospacing="0"/>
        <w:jc w:val="both"/>
        <w:rPr>
          <w:rFonts w:ascii="Bookman Old Style" w:hAnsi="Bookman Old Style"/>
          <w:b/>
          <w:bCs/>
          <w:sz w:val="22"/>
          <w:szCs w:val="22"/>
        </w:rPr>
      </w:pPr>
      <w:r w:rsidRPr="00736260">
        <w:rPr>
          <w:rFonts w:ascii="Bookman Old Style" w:hAnsi="Bookman Old Style"/>
          <w:b/>
          <w:bCs/>
          <w:sz w:val="22"/>
          <w:szCs w:val="22"/>
        </w:rPr>
        <w:t>6.</w:t>
      </w:r>
      <w:r w:rsidR="00211AAB">
        <w:rPr>
          <w:rFonts w:ascii="Bookman Old Style" w:hAnsi="Bookman Old Style"/>
          <w:b/>
          <w:bCs/>
          <w:sz w:val="22"/>
          <w:szCs w:val="22"/>
        </w:rPr>
        <w:t>1</w:t>
      </w:r>
      <w:r w:rsidRPr="00736260">
        <w:rPr>
          <w:rFonts w:ascii="Bookman Old Style" w:hAnsi="Bookman Old Style"/>
          <w:b/>
          <w:bCs/>
          <w:sz w:val="22"/>
          <w:szCs w:val="22"/>
        </w:rPr>
        <w:t xml:space="preserve"> OBJECTION TO LATERAL ENTRY - PRESERVATION OF THE CAREER CIVIL SERVICE:</w:t>
      </w:r>
    </w:p>
    <w:p w:rsidR="00F65BD9" w:rsidRDefault="00915D7D" w:rsidP="00F65BD9">
      <w:pPr>
        <w:pStyle w:val="NormalWeb"/>
        <w:spacing w:before="0" w:beforeAutospacing="0" w:after="0" w:afterAutospacing="0"/>
        <w:ind w:firstLine="720"/>
        <w:jc w:val="both"/>
        <w:rPr>
          <w:rFonts w:ascii="Bookman Old Style" w:hAnsi="Bookman Old Style"/>
          <w:sz w:val="22"/>
          <w:szCs w:val="22"/>
        </w:rPr>
      </w:pPr>
      <w:r w:rsidRPr="00736260">
        <w:rPr>
          <w:rFonts w:ascii="Bookman Old Style" w:hAnsi="Bookman Old Style"/>
          <w:sz w:val="22"/>
          <w:szCs w:val="22"/>
        </w:rPr>
        <w:t>The Association is concerned about the increasing use of lateral entry at senior levels such as Secretary, Additional Secretary, and Joint Secretary, as it weakens the structure of the permanent civil service. Career officers are selected through a rigorous national process and gain 15–20 years of experience, but lateral appointments block their promotion opportunities, causing stagnation and demotivation. These officers also possess valuable institutional memory and a deep understanding of legal, constitutional, and parliamentary systems, along with long-term accountability, which contractual entrants may lack. Moreover, while career officers undergo a strict 360-degree empanelment process based on performance and integrity, lateral entry is seen as bypassing these safeguards. Therefore, it is suggested that lateral entry should be strictly limited only to highly specialized technical or scientific roles where internal expertise is not available, and not used for general administrative or policy-making positions.</w:t>
      </w:r>
    </w:p>
    <w:p w:rsidR="00F65BD9" w:rsidRDefault="00F65BD9" w:rsidP="00F65BD9">
      <w:pPr>
        <w:pStyle w:val="NormalWeb"/>
        <w:spacing w:before="0" w:beforeAutospacing="0" w:after="0" w:afterAutospacing="0"/>
        <w:jc w:val="both"/>
        <w:rPr>
          <w:rFonts w:ascii="Bookman Old Style" w:hAnsi="Bookman Old Style"/>
          <w:sz w:val="22"/>
          <w:szCs w:val="22"/>
        </w:rPr>
      </w:pPr>
    </w:p>
    <w:p w:rsidR="00F65BD9" w:rsidRDefault="00F65BD9" w:rsidP="00F65BD9">
      <w:pPr>
        <w:pStyle w:val="NormalWeb"/>
        <w:spacing w:before="0" w:beforeAutospacing="0" w:after="0" w:afterAutospacing="0"/>
        <w:jc w:val="both"/>
        <w:rPr>
          <w:rFonts w:ascii="Bookman Old Style" w:hAnsi="Bookman Old Style"/>
          <w:sz w:val="22"/>
          <w:szCs w:val="22"/>
        </w:rPr>
      </w:pPr>
    </w:p>
    <w:p w:rsidR="00C45DB9" w:rsidRPr="00F65BD9" w:rsidRDefault="004C6D75" w:rsidP="00F65BD9">
      <w:pPr>
        <w:pStyle w:val="NormalWeb"/>
        <w:spacing w:before="0" w:beforeAutospacing="0" w:after="0" w:afterAutospacing="0"/>
        <w:jc w:val="both"/>
        <w:rPr>
          <w:rFonts w:ascii="Bookman Old Style" w:hAnsi="Bookman Old Style"/>
          <w:sz w:val="22"/>
          <w:szCs w:val="22"/>
        </w:rPr>
      </w:pPr>
      <w:r w:rsidRPr="00736260">
        <w:rPr>
          <w:rFonts w:ascii="Bookman Old Style" w:hAnsi="Bookman Old Style" w:cs="Arial"/>
          <w:b/>
          <w:bCs/>
          <w:color w:val="333333"/>
          <w:highlight w:val="yellow"/>
        </w:rPr>
        <w:t>7 - CADRE MANAGEMENT</w:t>
      </w:r>
    </w:p>
    <w:p w:rsidR="00B07446" w:rsidRPr="00C14FD8" w:rsidRDefault="00C45DB9" w:rsidP="00B07446">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Q7. What concerns / views do you face related to Cadre Management?</w:t>
      </w:r>
      <w:r w:rsidR="00584375">
        <w:rPr>
          <w:rFonts w:ascii="Bookman Old Style" w:eastAsia="Times New Roman" w:hAnsi="Bookman Old Style" w:cs="Arial"/>
          <w:b/>
          <w:bCs/>
          <w:color w:val="333333"/>
          <w:lang w:eastAsia="en-IN"/>
        </w:rPr>
        <w:t xml:space="preserve"> </w:t>
      </w:r>
      <w:r w:rsidR="007C3D46">
        <w:rPr>
          <w:rFonts w:ascii="Bookman Old Style" w:eastAsia="Times New Roman" w:hAnsi="Bookman Old Style" w:cs="Arial"/>
          <w:b/>
          <w:bCs/>
          <w:color w:val="333333"/>
          <w:lang w:eastAsia="en-IN"/>
        </w:rPr>
        <w:t>(10101</w:t>
      </w:r>
      <w:r w:rsidR="00BC7432">
        <w:rPr>
          <w:rFonts w:ascii="Bookman Old Style" w:eastAsia="Times New Roman" w:hAnsi="Bookman Old Style" w:cs="Arial"/>
          <w:b/>
          <w:bCs/>
          <w:color w:val="333333"/>
          <w:lang w:eastAsia="en-IN"/>
        </w:rPr>
        <w:t xml:space="preserve"> Characters)</w:t>
      </w:r>
    </w:p>
    <w:p w:rsidR="009C1C7B" w:rsidRDefault="009C1C7B" w:rsidP="00672138">
      <w:pPr>
        <w:shd w:val="clear" w:color="auto" w:fill="FFFFFF"/>
        <w:spacing w:after="0" w:line="240" w:lineRule="auto"/>
        <w:jc w:val="both"/>
        <w:rPr>
          <w:rFonts w:ascii="Bookman Old Style" w:eastAsia="Times New Roman" w:hAnsi="Bookman Old Style" w:cs="Arial"/>
          <w:b/>
          <w:color w:val="333333"/>
          <w:lang w:eastAsia="en-IN"/>
        </w:rPr>
      </w:pPr>
    </w:p>
    <w:p w:rsidR="004C6D75" w:rsidRPr="00736260" w:rsidRDefault="004C6D75" w:rsidP="00672138">
      <w:pPr>
        <w:shd w:val="clear" w:color="auto" w:fill="FFFFFF"/>
        <w:spacing w:after="0" w:line="240" w:lineRule="auto"/>
        <w:jc w:val="both"/>
        <w:rPr>
          <w:rFonts w:ascii="Bookman Old Style" w:hAnsi="Bookman Old Style"/>
          <w:b/>
        </w:rPr>
      </w:pPr>
      <w:r w:rsidRPr="00736260">
        <w:rPr>
          <w:rFonts w:ascii="Bookman Old Style" w:eastAsia="Times New Roman" w:hAnsi="Bookman Old Style" w:cs="Arial"/>
          <w:b/>
          <w:color w:val="333333"/>
          <w:lang w:eastAsia="en-IN"/>
        </w:rPr>
        <w:t xml:space="preserve">7.1 </w:t>
      </w:r>
      <w:r w:rsidRPr="00736260">
        <w:rPr>
          <w:rFonts w:ascii="Bookman Old Style" w:hAnsi="Bookman Old Style"/>
          <w:b/>
        </w:rPr>
        <w:t>TREAT AAO AS ENTRY GRADE</w:t>
      </w:r>
      <w:r w:rsidR="00AF3E14" w:rsidRPr="00736260">
        <w:rPr>
          <w:rFonts w:ascii="Bookman Old Style" w:hAnsi="Bookman Old Style"/>
          <w:b/>
        </w:rPr>
        <w:t xml:space="preserve"> IN P&amp;T ACCOUNTS</w:t>
      </w:r>
      <w:r w:rsidR="00316EA7" w:rsidRPr="00736260">
        <w:rPr>
          <w:rFonts w:ascii="Bookman Old Style" w:hAnsi="Bookman Old Style"/>
          <w:b/>
        </w:rPr>
        <w:t xml:space="preserve"> AT PAR WITH AAOs OF OTHER ORGANIZED ACCOUNTS CADRE</w:t>
      </w:r>
      <w:r w:rsidRPr="00736260">
        <w:rPr>
          <w:rFonts w:ascii="Bookman Old Style" w:hAnsi="Bookman Old Style"/>
          <w:b/>
        </w:rPr>
        <w:t>:</w:t>
      </w:r>
    </w:p>
    <w:p w:rsidR="004728F3" w:rsidRPr="00736260" w:rsidRDefault="004728F3" w:rsidP="004728F3">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As per </w:t>
      </w:r>
      <w:proofErr w:type="spellStart"/>
      <w:r w:rsidRPr="00736260">
        <w:rPr>
          <w:rFonts w:ascii="Bookman Old Style" w:eastAsia="Times New Roman" w:hAnsi="Bookman Old Style" w:cs="Times New Roman"/>
          <w:lang w:eastAsia="en-IN"/>
        </w:rPr>
        <w:t>DoP&amp;T</w:t>
      </w:r>
      <w:proofErr w:type="spellEnd"/>
      <w:r w:rsidRPr="00736260">
        <w:rPr>
          <w:rFonts w:ascii="Bookman Old Style" w:eastAsia="Times New Roman" w:hAnsi="Bookman Old Style" w:cs="Times New Roman"/>
          <w:lang w:eastAsia="en-IN"/>
        </w:rPr>
        <w:t xml:space="preserve"> guidelines (ID No. 71727/2011/2012) and their adoption by the Ministry of Railways (RBE No. 100/2012), when Recruitment Rules </w:t>
      </w:r>
      <w:r w:rsidR="00EA48D7">
        <w:rPr>
          <w:rFonts w:ascii="Bookman Old Style" w:eastAsia="Times New Roman" w:hAnsi="Bookman Old Style" w:cs="Times New Roman"/>
          <w:lang w:eastAsia="en-IN"/>
        </w:rPr>
        <w:t>having</w:t>
      </w:r>
      <w:r w:rsidR="002E2B2C">
        <w:rPr>
          <w:rFonts w:ascii="Bookman Old Style" w:eastAsia="Times New Roman" w:hAnsi="Bookman Old Style" w:cs="Times New Roman"/>
          <w:lang w:eastAsia="en-IN"/>
        </w:rPr>
        <w:t xml:space="preserve"> the element of</w:t>
      </w:r>
      <w:r w:rsidRPr="00736260">
        <w:rPr>
          <w:rFonts w:ascii="Bookman Old Style" w:eastAsia="Times New Roman" w:hAnsi="Bookman Old Style" w:cs="Times New Roman"/>
          <w:lang w:eastAsia="en-IN"/>
        </w:rPr>
        <w:t xml:space="preserve"> Direct Recruitment, induction through LDCE should be treated as Dire</w:t>
      </w:r>
      <w:r w:rsidR="00EA48D7">
        <w:rPr>
          <w:rFonts w:ascii="Bookman Old Style" w:eastAsia="Times New Roman" w:hAnsi="Bookman Old Style" w:cs="Times New Roman"/>
          <w:lang w:eastAsia="en-IN"/>
        </w:rPr>
        <w:t>ct Recruitment for MACP purpose</w:t>
      </w:r>
      <w:r w:rsidRPr="00736260">
        <w:rPr>
          <w:rFonts w:ascii="Bookman Old Style" w:eastAsia="Times New Roman" w:hAnsi="Bookman Old Style" w:cs="Times New Roman"/>
          <w:lang w:eastAsia="en-IN"/>
        </w:rPr>
        <w:t xml:space="preserve">. In such cases, past service in lower grades is not </w:t>
      </w:r>
      <w:r w:rsidRPr="00736260">
        <w:rPr>
          <w:rFonts w:ascii="Bookman Old Style" w:eastAsia="Times New Roman" w:hAnsi="Bookman Old Style" w:cs="Times New Roman"/>
          <w:lang w:eastAsia="en-IN"/>
        </w:rPr>
        <w:lastRenderedPageBreak/>
        <w:t xml:space="preserve">counted, and employees are entitled </w:t>
      </w:r>
      <w:r w:rsidR="00C211C7">
        <w:rPr>
          <w:rFonts w:ascii="Bookman Old Style" w:eastAsia="Times New Roman" w:hAnsi="Bookman Old Style" w:cs="Times New Roman"/>
          <w:lang w:eastAsia="en-IN"/>
        </w:rPr>
        <w:t>for</w:t>
      </w:r>
      <w:r w:rsidRPr="00736260">
        <w:rPr>
          <w:rFonts w:ascii="Bookman Old Style" w:eastAsia="Times New Roman" w:hAnsi="Bookman Old Style" w:cs="Times New Roman"/>
          <w:lang w:eastAsia="en-IN"/>
        </w:rPr>
        <w:t xml:space="preserve"> </w:t>
      </w:r>
      <w:r w:rsidR="00C211C7">
        <w:rPr>
          <w:rFonts w:ascii="Bookman Old Style" w:eastAsia="Times New Roman" w:hAnsi="Bookman Old Style" w:cs="Times New Roman"/>
          <w:lang w:eastAsia="en-IN"/>
        </w:rPr>
        <w:t xml:space="preserve">MACP </w:t>
      </w:r>
      <w:r w:rsidRPr="00736260">
        <w:rPr>
          <w:rFonts w:ascii="Bookman Old Style" w:eastAsia="Times New Roman" w:hAnsi="Bookman Old Style" w:cs="Times New Roman"/>
          <w:lang w:eastAsia="en-IN"/>
        </w:rPr>
        <w:t>financial upgradations from the date of induction</w:t>
      </w:r>
      <w:r w:rsidR="00C211C7">
        <w:rPr>
          <w:rFonts w:ascii="Bookman Old Style" w:eastAsia="Times New Roman" w:hAnsi="Bookman Old Style" w:cs="Times New Roman"/>
          <w:lang w:eastAsia="en-IN"/>
        </w:rPr>
        <w:t xml:space="preserve"> into the Cadre for which they are promoted through LDCE</w:t>
      </w:r>
      <w:r w:rsidRPr="00736260">
        <w:rPr>
          <w:rFonts w:ascii="Bookman Old Style" w:eastAsia="Times New Roman" w:hAnsi="Bookman Old Style" w:cs="Times New Roman"/>
          <w:lang w:eastAsia="en-IN"/>
        </w:rPr>
        <w:t>. This principle is already being followed in the Indian Audit and Accounts Department (IA&amp;AD) and the Railway Accounts Cadre</w:t>
      </w:r>
      <w:r w:rsidR="00C211C7">
        <w:rPr>
          <w:rFonts w:ascii="Bookman Old Style" w:eastAsia="Times New Roman" w:hAnsi="Bookman Old Style" w:cs="Times New Roman"/>
          <w:lang w:eastAsia="en-IN"/>
        </w:rPr>
        <w:t xml:space="preserve"> </w:t>
      </w:r>
      <w:r w:rsidR="00872AF9">
        <w:rPr>
          <w:rFonts w:ascii="Bookman Old Style" w:eastAsia="Times New Roman" w:hAnsi="Bookman Old Style" w:cs="Times New Roman"/>
          <w:lang w:eastAsia="en-IN"/>
        </w:rPr>
        <w:t>and appointment of</w:t>
      </w:r>
      <w:r w:rsidR="00C211C7">
        <w:rPr>
          <w:rFonts w:ascii="Bookman Old Style" w:eastAsia="Times New Roman" w:hAnsi="Bookman Old Style" w:cs="Times New Roman"/>
          <w:lang w:eastAsia="en-IN"/>
        </w:rPr>
        <w:t xml:space="preserve"> AAOs</w:t>
      </w:r>
      <w:r w:rsidR="00872AF9">
        <w:rPr>
          <w:rFonts w:ascii="Bookman Old Style" w:eastAsia="Times New Roman" w:hAnsi="Bookman Old Style" w:cs="Times New Roman"/>
          <w:lang w:eastAsia="en-IN"/>
        </w:rPr>
        <w:t xml:space="preserve"> through LDCE</w:t>
      </w:r>
      <w:r w:rsidR="00C211C7">
        <w:rPr>
          <w:rFonts w:ascii="Bookman Old Style" w:eastAsia="Times New Roman" w:hAnsi="Bookman Old Style" w:cs="Times New Roman"/>
          <w:lang w:eastAsia="en-IN"/>
        </w:rPr>
        <w:t xml:space="preserve"> in those Departments </w:t>
      </w:r>
      <w:r w:rsidR="00872AF9">
        <w:rPr>
          <w:rFonts w:ascii="Bookman Old Style" w:eastAsia="Times New Roman" w:hAnsi="Bookman Old Style" w:cs="Times New Roman"/>
          <w:lang w:eastAsia="en-IN"/>
        </w:rPr>
        <w:t>are treated as Direct Recruitment</w:t>
      </w:r>
      <w:r w:rsidRPr="00736260">
        <w:rPr>
          <w:rFonts w:ascii="Bookman Old Style" w:eastAsia="Times New Roman" w:hAnsi="Bookman Old Style" w:cs="Times New Roman"/>
          <w:lang w:eastAsia="en-IN"/>
        </w:rPr>
        <w:t xml:space="preserve">. </w:t>
      </w:r>
      <w:r w:rsidR="006A55D4">
        <w:rPr>
          <w:rFonts w:ascii="Bookman Old Style" w:eastAsia="Times New Roman" w:hAnsi="Bookman Old Style" w:cs="Times New Roman"/>
          <w:lang w:eastAsia="en-IN"/>
        </w:rPr>
        <w:t xml:space="preserve">CAG has </w:t>
      </w:r>
      <w:r w:rsidR="00116380">
        <w:rPr>
          <w:rFonts w:ascii="Bookman Old Style" w:eastAsia="Times New Roman" w:hAnsi="Bookman Old Style" w:cs="Times New Roman"/>
          <w:lang w:eastAsia="en-IN"/>
        </w:rPr>
        <w:t>ensured the same by issuance of</w:t>
      </w:r>
      <w:r w:rsidR="006A55D4">
        <w:rPr>
          <w:rFonts w:ascii="Bookman Old Style" w:eastAsia="Times New Roman" w:hAnsi="Bookman Old Style" w:cs="Times New Roman"/>
          <w:lang w:eastAsia="en-IN"/>
        </w:rPr>
        <w:t xml:space="preserve"> instructions</w:t>
      </w:r>
      <w:r w:rsidR="00116380">
        <w:rPr>
          <w:rFonts w:ascii="Bookman Old Style" w:eastAsia="Times New Roman" w:hAnsi="Bookman Old Style" w:cs="Times New Roman"/>
          <w:lang w:eastAsia="en-IN"/>
        </w:rPr>
        <w:t xml:space="preserve"> in this regard</w:t>
      </w:r>
      <w:r w:rsidR="006A55D4">
        <w:rPr>
          <w:rFonts w:ascii="Bookman Old Style" w:eastAsia="Times New Roman" w:hAnsi="Bookman Old Style" w:cs="Times New Roman"/>
          <w:lang w:eastAsia="en-IN"/>
        </w:rPr>
        <w:t xml:space="preserve"> vide Circular no. 23-Staff Wing/2016</w:t>
      </w:r>
      <w:r w:rsidR="007B4CF7">
        <w:rPr>
          <w:rFonts w:ascii="Bookman Old Style" w:eastAsia="Times New Roman" w:hAnsi="Bookman Old Style" w:cs="Times New Roman"/>
          <w:lang w:eastAsia="en-IN"/>
        </w:rPr>
        <w:t xml:space="preserve"> &amp; No. 39-Staff(</w:t>
      </w:r>
      <w:proofErr w:type="spellStart"/>
      <w:r w:rsidR="007B4CF7">
        <w:rPr>
          <w:rFonts w:ascii="Bookman Old Style" w:eastAsia="Times New Roman" w:hAnsi="Bookman Old Style" w:cs="Times New Roman"/>
          <w:lang w:eastAsia="en-IN"/>
        </w:rPr>
        <w:t>Entt</w:t>
      </w:r>
      <w:proofErr w:type="spellEnd"/>
      <w:r w:rsidR="007B4CF7">
        <w:rPr>
          <w:rFonts w:ascii="Bookman Old Style" w:eastAsia="Times New Roman" w:hAnsi="Bookman Old Style" w:cs="Times New Roman"/>
          <w:lang w:eastAsia="en-IN"/>
        </w:rPr>
        <w:t>-I)/184-2014</w:t>
      </w:r>
      <w:r w:rsidR="000A0451">
        <w:rPr>
          <w:rFonts w:ascii="Bookman Old Style" w:eastAsia="Times New Roman" w:hAnsi="Bookman Old Style" w:cs="Times New Roman"/>
          <w:lang w:eastAsia="en-IN"/>
        </w:rPr>
        <w:t xml:space="preserve"> dated 20.06.2016 </w:t>
      </w:r>
      <w:r w:rsidR="00116380">
        <w:rPr>
          <w:rFonts w:ascii="Bookman Old Style" w:eastAsia="Times New Roman" w:hAnsi="Bookman Old Style" w:cs="Times New Roman"/>
          <w:lang w:eastAsia="en-IN"/>
        </w:rPr>
        <w:t xml:space="preserve">to treat SAS passed AAO as Direct Recruitment for the purpose of MACP and such </w:t>
      </w:r>
      <w:r w:rsidR="00F77608">
        <w:rPr>
          <w:rFonts w:ascii="Bookman Old Style" w:eastAsia="Times New Roman" w:hAnsi="Bookman Old Style" w:cs="Times New Roman"/>
          <w:lang w:eastAsia="en-IN"/>
        </w:rPr>
        <w:t>treatment is not given in other Organized Accounts Cadres including</w:t>
      </w:r>
      <w:r w:rsidRPr="00736260">
        <w:rPr>
          <w:rFonts w:ascii="Bookman Old Style" w:eastAsia="Times New Roman" w:hAnsi="Bookman Old Style" w:cs="Times New Roman"/>
          <w:lang w:eastAsia="en-IN"/>
        </w:rPr>
        <w:t xml:space="preserve"> IP&amp;TAFS (P&amp;T Accounts) Group ‘B’ cadre. </w:t>
      </w:r>
      <w:r w:rsidR="00067B02">
        <w:rPr>
          <w:rFonts w:ascii="Bookman Old Style" w:eastAsia="Times New Roman" w:hAnsi="Bookman Old Style" w:cs="Times New Roman"/>
          <w:lang w:eastAsia="en-IN"/>
        </w:rPr>
        <w:t xml:space="preserve">The Recruitment Rules of AAOs in all Organized Accounts Cadres are similar and having the element of Direct Recruitment. Hence, </w:t>
      </w:r>
      <w:r w:rsidR="009917AB">
        <w:rPr>
          <w:rFonts w:ascii="Bookman Old Style" w:eastAsia="Times New Roman" w:hAnsi="Bookman Old Style" w:cs="Times New Roman"/>
          <w:lang w:eastAsia="en-IN"/>
        </w:rPr>
        <w:t>parity of treatment of AAOs across all Organized Accounts Departments is much required to establish justice for further financial upgradation from AAO entry.</w:t>
      </w:r>
      <w:r w:rsidR="001D3795">
        <w:rPr>
          <w:rFonts w:ascii="Bookman Old Style" w:eastAsia="Times New Roman" w:hAnsi="Bookman Old Style" w:cs="Times New Roman"/>
          <w:lang w:eastAsia="en-IN"/>
        </w:rPr>
        <w:t xml:space="preserve"> 8</w:t>
      </w:r>
      <w:r w:rsidR="001D3795" w:rsidRPr="001D3795">
        <w:rPr>
          <w:rFonts w:ascii="Bookman Old Style" w:eastAsia="Times New Roman" w:hAnsi="Bookman Old Style" w:cs="Times New Roman"/>
          <w:vertAlign w:val="superscript"/>
          <w:lang w:eastAsia="en-IN"/>
        </w:rPr>
        <w:t>th</w:t>
      </w:r>
      <w:r w:rsidR="001D3795">
        <w:rPr>
          <w:rFonts w:ascii="Bookman Old Style" w:eastAsia="Times New Roman" w:hAnsi="Bookman Old Style" w:cs="Times New Roman"/>
          <w:lang w:eastAsia="en-IN"/>
        </w:rPr>
        <w:t xml:space="preserve"> CPC may rec</w:t>
      </w:r>
      <w:r w:rsidR="00A37047">
        <w:rPr>
          <w:rFonts w:ascii="Bookman Old Style" w:eastAsia="Times New Roman" w:hAnsi="Bookman Old Style" w:cs="Times New Roman"/>
          <w:lang w:eastAsia="en-IN"/>
        </w:rPr>
        <w:t>ommend to ensure equal treatment of AAOs among all Organized Accounts Cadres.</w:t>
      </w:r>
      <w:r w:rsidR="005F534A">
        <w:rPr>
          <w:rFonts w:ascii="Bookman Old Style" w:eastAsia="Times New Roman" w:hAnsi="Bookman Old Style" w:cs="Times New Roman"/>
          <w:lang w:eastAsia="en-IN"/>
        </w:rPr>
        <w:t xml:space="preserve"> Further, it is also requested to grant minimum 5 MACP Financial upgradations to all Cadres in entire service.</w:t>
      </w:r>
    </w:p>
    <w:p w:rsidR="004C6D75" w:rsidRPr="00736260" w:rsidRDefault="004C6D75" w:rsidP="00D925C9">
      <w:pPr>
        <w:shd w:val="clear" w:color="auto" w:fill="FFFFFF"/>
        <w:spacing w:after="0" w:line="240" w:lineRule="auto"/>
        <w:jc w:val="both"/>
        <w:rPr>
          <w:rFonts w:ascii="Bookman Old Style" w:eastAsia="Times New Roman" w:hAnsi="Bookman Old Style" w:cs="Arial"/>
          <w:b/>
          <w:color w:val="333333"/>
          <w:lang w:eastAsia="en-IN"/>
        </w:rPr>
      </w:pPr>
    </w:p>
    <w:p w:rsidR="00AF3E14" w:rsidRPr="00736260" w:rsidRDefault="00AF3E14" w:rsidP="002D707F">
      <w:pPr>
        <w:shd w:val="clear" w:color="auto" w:fill="FFFFFF"/>
        <w:spacing w:after="0" w:line="240" w:lineRule="auto"/>
        <w:jc w:val="both"/>
        <w:rPr>
          <w:rFonts w:ascii="Bookman Old Style" w:hAnsi="Bookman Old Style"/>
          <w:b/>
        </w:rPr>
      </w:pPr>
      <w:r w:rsidRPr="00736260">
        <w:rPr>
          <w:rFonts w:ascii="Bookman Old Style" w:eastAsia="Times New Roman" w:hAnsi="Bookman Old Style" w:cs="Arial"/>
          <w:b/>
          <w:color w:val="333333"/>
          <w:lang w:eastAsia="en-IN"/>
        </w:rPr>
        <w:t xml:space="preserve">7.2 </w:t>
      </w:r>
      <w:r w:rsidRPr="00736260">
        <w:rPr>
          <w:rFonts w:ascii="Bookman Old Style" w:hAnsi="Bookman Old Style"/>
          <w:b/>
        </w:rPr>
        <w:t xml:space="preserve">MERGER OF AO AND SENIOR AO CADRE WITH GROUP A STATUS </w:t>
      </w:r>
      <w:r w:rsidR="004A2C24" w:rsidRPr="00736260">
        <w:rPr>
          <w:rFonts w:ascii="Bookman Old Style" w:hAnsi="Bookman Old Style"/>
          <w:b/>
        </w:rPr>
        <w:t>– REQUIREMENT OF PARITY AMONG ALL ORGANIZED ACCOUNTS CADRE</w:t>
      </w:r>
      <w:r w:rsidR="004A4C2E" w:rsidRPr="00736260">
        <w:rPr>
          <w:rFonts w:ascii="Bookman Old Style" w:hAnsi="Bookman Old Style"/>
          <w:b/>
        </w:rPr>
        <w:t>:</w:t>
      </w:r>
    </w:p>
    <w:p w:rsidR="002361B1" w:rsidRDefault="00B320D0" w:rsidP="002D707F">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The cadre of Senior Accounts Officers (Sr. AOs) in P&amp;T Accounts continues to face a long-standing anomaly in comparison with other Organized Accounts Services. While Sr. AOs discharge supervisory, financial advisory, and quasi-administrative functions equivalent to Group ‘A’ officers, they are still classified below Group ‘A’ in P&amp;T Accounts. This is despite the fact that, pursuant to the judgment of the Hon’ble Delhi High Court (2013) upheld by the Hon’ble Supreme Court on 21.08.2018, denial of Group ‘A’ status to similarly placed Accounts/Audit Officers was held to be arbitrary and inconsistent with service conditions. Following these judicial directions, the Government granted Group ‘A’ status to Sr. AOs in IA&amp;A</w:t>
      </w:r>
      <w:r w:rsidR="00BD3B1B" w:rsidRPr="00736260">
        <w:rPr>
          <w:rFonts w:ascii="Bookman Old Style" w:eastAsia="Times New Roman" w:hAnsi="Bookman Old Style" w:cs="Times New Roman"/>
          <w:lang w:eastAsia="en-IN"/>
        </w:rPr>
        <w:t xml:space="preserve">D, </w:t>
      </w:r>
      <w:r w:rsidRPr="00736260">
        <w:rPr>
          <w:rFonts w:ascii="Bookman Old Style" w:eastAsia="Times New Roman" w:hAnsi="Bookman Old Style" w:cs="Times New Roman"/>
          <w:lang w:eastAsia="en-IN"/>
        </w:rPr>
        <w:t xml:space="preserve">Civil </w:t>
      </w:r>
      <w:r w:rsidR="00BD3B1B" w:rsidRPr="00736260">
        <w:rPr>
          <w:rFonts w:ascii="Bookman Old Style" w:eastAsia="Times New Roman" w:hAnsi="Bookman Old Style" w:cs="Times New Roman"/>
          <w:lang w:eastAsia="en-IN"/>
        </w:rPr>
        <w:t xml:space="preserve">and Defence </w:t>
      </w:r>
      <w:r w:rsidRPr="00736260">
        <w:rPr>
          <w:rFonts w:ascii="Bookman Old Style" w:eastAsia="Times New Roman" w:hAnsi="Bookman Old Style" w:cs="Times New Roman"/>
          <w:lang w:eastAsia="en-IN"/>
        </w:rPr>
        <w:t>Accounts, as reflected in official orders</w:t>
      </w:r>
      <w:r w:rsidR="002361B1">
        <w:rPr>
          <w:rFonts w:ascii="Bookman Old Style" w:eastAsia="Times New Roman" w:hAnsi="Bookman Old Style" w:cs="Times New Roman"/>
          <w:lang w:eastAsia="en-IN"/>
        </w:rPr>
        <w:t>.</w:t>
      </w:r>
    </w:p>
    <w:p w:rsidR="00B320D0" w:rsidRPr="00736260" w:rsidRDefault="00B320D0" w:rsidP="002D707F">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Further, structural reforms have already been implemented in other Organized Accounts Cadres by merging the posts of Accounts Officer (AO) and Senior Accounts Officer (Sr. AO), recognizing their f</w:t>
      </w:r>
      <w:r w:rsidR="002D707F" w:rsidRPr="00736260">
        <w:rPr>
          <w:rFonts w:ascii="Bookman Old Style" w:eastAsia="Times New Roman" w:hAnsi="Bookman Old Style" w:cs="Times New Roman"/>
          <w:lang w:eastAsia="en-IN"/>
        </w:rPr>
        <w:t>unctional similarity</w:t>
      </w:r>
      <w:r w:rsidRPr="00736260">
        <w:rPr>
          <w:rFonts w:ascii="Bookman Old Style" w:eastAsia="Times New Roman" w:hAnsi="Bookman Old Style" w:cs="Times New Roman"/>
          <w:lang w:eastAsia="en-IN"/>
        </w:rPr>
        <w:t>, and corresponding Recruitment Rule</w:t>
      </w:r>
      <w:r w:rsidR="002D707F" w:rsidRPr="00736260">
        <w:rPr>
          <w:rFonts w:ascii="Bookman Old Style" w:eastAsia="Times New Roman" w:hAnsi="Bookman Old Style" w:cs="Times New Roman"/>
          <w:lang w:eastAsia="en-IN"/>
        </w:rPr>
        <w:t>s have been aligned accordingly</w:t>
      </w:r>
      <w:r w:rsidR="001112E9">
        <w:rPr>
          <w:rFonts w:ascii="Bookman Old Style" w:eastAsia="Times New Roman" w:hAnsi="Bookman Old Style" w:cs="Times New Roman"/>
          <w:lang w:eastAsia="en-IN"/>
        </w:rPr>
        <w:t xml:space="preserve"> vide CAG </w:t>
      </w:r>
      <w:r w:rsidR="00AF60C9" w:rsidRPr="00AF60C9">
        <w:rPr>
          <w:rFonts w:ascii="Bookman Old Style" w:eastAsia="Times New Roman" w:hAnsi="Bookman Old Style" w:cs="Times New Roman"/>
          <w:lang w:eastAsia="en-IN"/>
        </w:rPr>
        <w:t xml:space="preserve">circular no. </w:t>
      </w:r>
      <w:r w:rsidR="00AF60C9">
        <w:rPr>
          <w:rFonts w:ascii="Bookman Old Style" w:eastAsia="Times New Roman" w:hAnsi="Bookman Old Style" w:cs="Times New Roman"/>
          <w:lang w:eastAsia="en-IN"/>
        </w:rPr>
        <w:t>49-S</w:t>
      </w:r>
      <w:r w:rsidR="001A0702">
        <w:rPr>
          <w:rFonts w:ascii="Bookman Old Style" w:eastAsia="Times New Roman" w:hAnsi="Bookman Old Style" w:cs="Times New Roman"/>
          <w:lang w:eastAsia="en-IN"/>
        </w:rPr>
        <w:t>taff(App I)/2019 issued under letter no. 1376-Staff</w:t>
      </w:r>
      <w:r w:rsidR="00AF60C9" w:rsidRPr="00AF60C9">
        <w:rPr>
          <w:rFonts w:ascii="Bookman Old Style" w:eastAsia="Times New Roman" w:hAnsi="Bookman Old Style" w:cs="Times New Roman"/>
          <w:lang w:eastAsia="en-IN"/>
        </w:rPr>
        <w:t>(</w:t>
      </w:r>
      <w:r w:rsidR="001A0702">
        <w:rPr>
          <w:rFonts w:ascii="Bookman Old Style" w:eastAsia="Times New Roman" w:hAnsi="Bookman Old Style" w:cs="Times New Roman"/>
          <w:lang w:eastAsia="en-IN"/>
        </w:rPr>
        <w:t>App I</w:t>
      </w:r>
      <w:r w:rsidR="00AF60C9" w:rsidRPr="00AF60C9">
        <w:rPr>
          <w:rFonts w:ascii="Bookman Old Style" w:eastAsia="Times New Roman" w:hAnsi="Bookman Old Style" w:cs="Times New Roman"/>
          <w:lang w:eastAsia="en-IN"/>
        </w:rPr>
        <w:t>)/</w:t>
      </w:r>
      <w:r w:rsidR="0073333B">
        <w:rPr>
          <w:rFonts w:ascii="Bookman Old Style" w:eastAsia="Times New Roman" w:hAnsi="Bookman Old Style" w:cs="Times New Roman"/>
          <w:lang w:eastAsia="en-IN"/>
        </w:rPr>
        <w:t>16-2018 dated 22</w:t>
      </w:r>
      <w:r w:rsidR="00AF60C9" w:rsidRPr="00AF60C9">
        <w:rPr>
          <w:rFonts w:ascii="Bookman Old Style" w:eastAsia="Times New Roman" w:hAnsi="Bookman Old Style" w:cs="Times New Roman"/>
          <w:lang w:eastAsia="en-IN"/>
        </w:rPr>
        <w:t>.11.2019</w:t>
      </w:r>
      <w:r w:rsidR="001C6ADA">
        <w:rPr>
          <w:rFonts w:ascii="Bookman Old Style" w:eastAsia="Times New Roman" w:hAnsi="Bookman Old Style" w:cs="Times New Roman"/>
          <w:lang w:eastAsia="en-IN"/>
        </w:rPr>
        <w:t xml:space="preserve">, CGA OM no. </w:t>
      </w:r>
      <w:proofErr w:type="spellStart"/>
      <w:r w:rsidR="001C6ADA">
        <w:rPr>
          <w:rFonts w:ascii="Bookman Old Style" w:eastAsia="Times New Roman" w:hAnsi="Bookman Old Style" w:cs="Times New Roman"/>
          <w:lang w:eastAsia="en-IN"/>
        </w:rPr>
        <w:t>F.No</w:t>
      </w:r>
      <w:proofErr w:type="spellEnd"/>
      <w:r w:rsidR="001C6ADA">
        <w:rPr>
          <w:rFonts w:ascii="Bookman Old Style" w:eastAsia="Times New Roman" w:hAnsi="Bookman Old Style" w:cs="Times New Roman"/>
          <w:lang w:eastAsia="en-IN"/>
        </w:rPr>
        <w:t xml:space="preserve">. </w:t>
      </w:r>
      <w:r w:rsidR="00C84D4F">
        <w:rPr>
          <w:rFonts w:ascii="Bookman Old Style" w:eastAsia="Times New Roman" w:hAnsi="Bookman Old Style" w:cs="Times New Roman"/>
          <w:lang w:eastAsia="en-IN"/>
        </w:rPr>
        <w:t xml:space="preserve">A-65061(55)79/2023-Group B-CGA-686 dated 18.09.2023 and </w:t>
      </w:r>
      <w:r w:rsidR="00072E90">
        <w:rPr>
          <w:rFonts w:ascii="Bookman Old Style" w:eastAsia="Times New Roman" w:hAnsi="Bookman Old Style" w:cs="Times New Roman"/>
          <w:lang w:eastAsia="en-IN"/>
        </w:rPr>
        <w:t>CGDA OM No. AN/VIII/8210/RR/SAO/2021/P-212 dated 08.08.2023</w:t>
      </w:r>
      <w:r w:rsidRPr="00736260">
        <w:rPr>
          <w:rFonts w:ascii="Bookman Old Style" w:eastAsia="Times New Roman" w:hAnsi="Bookman Old Style" w:cs="Times New Roman"/>
          <w:lang w:eastAsia="en-IN"/>
        </w:rPr>
        <w:t>. However, P&amp;T Accounts has not adopted these reforms</w:t>
      </w:r>
      <w:r w:rsidR="005539A7">
        <w:rPr>
          <w:rFonts w:ascii="Bookman Old Style" w:eastAsia="Times New Roman" w:hAnsi="Bookman Old Style" w:cs="Times New Roman"/>
          <w:lang w:eastAsia="en-IN"/>
        </w:rPr>
        <w:t xml:space="preserve"> even though Minister of Communications approved Group </w:t>
      </w:r>
      <w:proofErr w:type="gramStart"/>
      <w:r w:rsidR="005539A7">
        <w:rPr>
          <w:rFonts w:ascii="Bookman Old Style" w:eastAsia="Times New Roman" w:hAnsi="Bookman Old Style" w:cs="Times New Roman"/>
          <w:lang w:eastAsia="en-IN"/>
        </w:rPr>
        <w:t>A</w:t>
      </w:r>
      <w:proofErr w:type="gramEnd"/>
      <w:r w:rsidR="005539A7">
        <w:rPr>
          <w:rFonts w:ascii="Bookman Old Style" w:eastAsia="Times New Roman" w:hAnsi="Bookman Old Style" w:cs="Times New Roman"/>
          <w:lang w:eastAsia="en-IN"/>
        </w:rPr>
        <w:t xml:space="preserve"> Status to Senior AOs</w:t>
      </w:r>
      <w:r w:rsidR="00EA292D">
        <w:rPr>
          <w:rFonts w:ascii="Bookman Old Style" w:eastAsia="Times New Roman" w:hAnsi="Bookman Old Style" w:cs="Times New Roman"/>
          <w:lang w:eastAsia="en-IN"/>
        </w:rPr>
        <w:t xml:space="preserve"> in P&amp;T Accounts</w:t>
      </w:r>
      <w:r w:rsidRPr="00736260">
        <w:rPr>
          <w:rFonts w:ascii="Bookman Old Style" w:eastAsia="Times New Roman" w:hAnsi="Bookman Old Style" w:cs="Times New Roman"/>
          <w:lang w:eastAsia="en-IN"/>
        </w:rPr>
        <w:t>, resulting in disparity in cadre structure, denial of status parity, and stagnation in career progression.</w:t>
      </w:r>
    </w:p>
    <w:p w:rsidR="00AF3E14" w:rsidRPr="00736260" w:rsidRDefault="00F86553" w:rsidP="00F86553">
      <w:pPr>
        <w:shd w:val="clear" w:color="auto" w:fill="FFFFFF"/>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In view of the binding judicial pronouncements, established administrative precedents, and the principle of “Equal Pay and Status for Equal Work,” it is proposed that the 8th </w:t>
      </w:r>
      <w:r w:rsidR="006F4AB1">
        <w:rPr>
          <w:rFonts w:ascii="Bookman Old Style" w:eastAsia="Times New Roman" w:hAnsi="Bookman Old Style" w:cs="Times New Roman"/>
          <w:lang w:eastAsia="en-IN"/>
        </w:rPr>
        <w:t>CPC</w:t>
      </w:r>
      <w:r w:rsidRPr="00736260">
        <w:rPr>
          <w:rFonts w:ascii="Bookman Old Style" w:eastAsia="Times New Roman" w:hAnsi="Bookman Old Style" w:cs="Times New Roman"/>
          <w:lang w:eastAsia="en-IN"/>
        </w:rPr>
        <w:t xml:space="preserve"> recommend (</w:t>
      </w:r>
      <w:proofErr w:type="spellStart"/>
      <w:r w:rsidRPr="00736260">
        <w:rPr>
          <w:rFonts w:ascii="Bookman Old Style" w:eastAsia="Times New Roman" w:hAnsi="Bookman Old Style" w:cs="Times New Roman"/>
          <w:lang w:eastAsia="en-IN"/>
        </w:rPr>
        <w:t>i</w:t>
      </w:r>
      <w:proofErr w:type="spellEnd"/>
      <w:r w:rsidRPr="00736260">
        <w:rPr>
          <w:rFonts w:ascii="Bookman Old Style" w:eastAsia="Times New Roman" w:hAnsi="Bookman Old Style" w:cs="Times New Roman"/>
          <w:lang w:eastAsia="en-IN"/>
        </w:rPr>
        <w:t>) merger of the posts of Accounts Officer and Senior A</w:t>
      </w:r>
      <w:r w:rsidR="0013677E">
        <w:rPr>
          <w:rFonts w:ascii="Bookman Old Style" w:eastAsia="Times New Roman" w:hAnsi="Bookman Old Style" w:cs="Times New Roman"/>
          <w:lang w:eastAsia="en-IN"/>
        </w:rPr>
        <w:t xml:space="preserve">ccounts Officer in P&amp;T Accounts in view of Grant of Group </w:t>
      </w:r>
      <w:proofErr w:type="gramStart"/>
      <w:r w:rsidR="0013677E">
        <w:rPr>
          <w:rFonts w:ascii="Bookman Old Style" w:eastAsia="Times New Roman" w:hAnsi="Bookman Old Style" w:cs="Times New Roman"/>
          <w:lang w:eastAsia="en-IN"/>
        </w:rPr>
        <w:t>A</w:t>
      </w:r>
      <w:proofErr w:type="gramEnd"/>
      <w:r w:rsidR="0013677E">
        <w:rPr>
          <w:rFonts w:ascii="Bookman Old Style" w:eastAsia="Times New Roman" w:hAnsi="Bookman Old Style" w:cs="Times New Roman"/>
          <w:lang w:eastAsia="en-IN"/>
        </w:rPr>
        <w:t xml:space="preserve"> Status</w:t>
      </w:r>
      <w:r w:rsidRPr="00736260">
        <w:rPr>
          <w:rFonts w:ascii="Bookman Old Style" w:eastAsia="Times New Roman" w:hAnsi="Bookman Old Style" w:cs="Times New Roman"/>
          <w:lang w:eastAsia="en-IN"/>
        </w:rPr>
        <w:t xml:space="preserve"> (ii) grant of Group ‘A’ status to the merged Sr. AO cadre, in strict parity with other Organized Accoun</w:t>
      </w:r>
      <w:r w:rsidR="0013677E">
        <w:rPr>
          <w:rFonts w:ascii="Bookman Old Style" w:eastAsia="Times New Roman" w:hAnsi="Bookman Old Style" w:cs="Times New Roman"/>
          <w:lang w:eastAsia="en-IN"/>
        </w:rPr>
        <w:t>ts Services</w:t>
      </w:r>
    </w:p>
    <w:p w:rsidR="005F2653" w:rsidRPr="00736260" w:rsidRDefault="005F2653" w:rsidP="00D925C9">
      <w:pPr>
        <w:shd w:val="clear" w:color="auto" w:fill="FFFFFF"/>
        <w:spacing w:after="0" w:line="240" w:lineRule="auto"/>
        <w:jc w:val="both"/>
        <w:rPr>
          <w:rFonts w:ascii="Bookman Old Style" w:eastAsia="Times New Roman" w:hAnsi="Bookman Old Style" w:cs="Arial"/>
          <w:b/>
          <w:color w:val="333333"/>
          <w:lang w:eastAsia="en-IN"/>
        </w:rPr>
      </w:pPr>
    </w:p>
    <w:p w:rsidR="00C9440C" w:rsidRPr="008A0F81" w:rsidRDefault="004E7787" w:rsidP="00D925C9">
      <w:pPr>
        <w:shd w:val="clear" w:color="auto" w:fill="FFFFFF"/>
        <w:spacing w:after="0" w:line="240" w:lineRule="auto"/>
        <w:jc w:val="both"/>
        <w:rPr>
          <w:rFonts w:ascii="Bookman Old Style" w:eastAsia="Times New Roman" w:hAnsi="Bookman Old Style" w:cs="Arial"/>
          <w:b/>
          <w:color w:val="333333"/>
          <w:lang w:eastAsia="en-IN"/>
        </w:rPr>
      </w:pPr>
      <w:r>
        <w:rPr>
          <w:rFonts w:ascii="Bookman Old Style" w:eastAsia="Times New Roman" w:hAnsi="Bookman Old Style" w:cs="Arial"/>
          <w:b/>
          <w:color w:val="333333"/>
          <w:lang w:eastAsia="en-IN"/>
        </w:rPr>
        <w:t>7.3</w:t>
      </w:r>
      <w:r w:rsidR="00C9440C">
        <w:rPr>
          <w:rFonts w:ascii="Bookman Old Style" w:eastAsia="Times New Roman" w:hAnsi="Bookman Old Style" w:cs="Arial"/>
          <w:b/>
          <w:color w:val="333333"/>
          <w:lang w:eastAsia="en-IN"/>
        </w:rPr>
        <w:t xml:space="preserve"> MERGER OF ALL ORGANIZED ACCOUNTS</w:t>
      </w:r>
      <w:r w:rsidR="007C192B">
        <w:rPr>
          <w:rFonts w:ascii="Bookman Old Style" w:eastAsia="Times New Roman" w:hAnsi="Bookman Old Style" w:cs="Arial"/>
          <w:b/>
          <w:color w:val="333333"/>
          <w:lang w:eastAsia="en-IN"/>
        </w:rPr>
        <w:t xml:space="preserve"> CADRES WITH CGA AND CREATION OF CENTRALIZED </w:t>
      </w:r>
      <w:r w:rsidR="00CC1395">
        <w:rPr>
          <w:rFonts w:ascii="Bookman Old Style" w:eastAsia="Times New Roman" w:hAnsi="Bookman Old Style" w:cs="Arial"/>
          <w:b/>
          <w:color w:val="333333"/>
          <w:lang w:eastAsia="en-IN"/>
        </w:rPr>
        <w:t xml:space="preserve">UNION </w:t>
      </w:r>
      <w:r w:rsidR="007C192B">
        <w:rPr>
          <w:rFonts w:ascii="Bookman Old Style" w:eastAsia="Times New Roman" w:hAnsi="Bookman Old Style" w:cs="Arial"/>
          <w:b/>
          <w:color w:val="333333"/>
          <w:lang w:eastAsia="en-IN"/>
        </w:rPr>
        <w:t xml:space="preserve">ACCOUNTS GROUP B AND CENTRALIZED </w:t>
      </w:r>
      <w:r w:rsidR="00CC1395">
        <w:rPr>
          <w:rFonts w:ascii="Bookman Old Style" w:eastAsia="Times New Roman" w:hAnsi="Bookman Old Style" w:cs="Arial"/>
          <w:b/>
          <w:color w:val="333333"/>
          <w:lang w:eastAsia="en-IN"/>
        </w:rPr>
        <w:t xml:space="preserve">UNION ACCOUNTS </w:t>
      </w:r>
      <w:r w:rsidR="007C192B">
        <w:rPr>
          <w:rFonts w:ascii="Bookman Old Style" w:eastAsia="Times New Roman" w:hAnsi="Bookman Old Style" w:cs="Arial"/>
          <w:b/>
          <w:color w:val="333333"/>
          <w:lang w:eastAsia="en-IN"/>
        </w:rPr>
        <w:t xml:space="preserve">GROUP A CADRES SIMILAR TO </w:t>
      </w:r>
      <w:r w:rsidR="00675AFC">
        <w:rPr>
          <w:rFonts w:ascii="Bookman Old Style" w:eastAsia="Times New Roman" w:hAnsi="Bookman Old Style" w:cs="Arial"/>
          <w:b/>
          <w:color w:val="333333"/>
          <w:lang w:eastAsia="en-IN"/>
        </w:rPr>
        <w:t xml:space="preserve">MERGER OF ALL </w:t>
      </w:r>
      <w:r w:rsidR="00675AFC" w:rsidRPr="008A0F81">
        <w:rPr>
          <w:rFonts w:ascii="Bookman Old Style" w:eastAsia="Times New Roman" w:hAnsi="Bookman Old Style" w:cs="Arial"/>
          <w:b/>
          <w:color w:val="333333"/>
          <w:lang w:eastAsia="en-IN"/>
        </w:rPr>
        <w:t>DEPARTMENTALIZED AUDIT CADRES AND CREATION OF CENTRALIZED AUDIT CADRES</w:t>
      </w:r>
      <w:r w:rsidR="00BA305F" w:rsidRPr="008A0F81">
        <w:rPr>
          <w:rFonts w:ascii="Bookman Old Style" w:eastAsia="Times New Roman" w:hAnsi="Bookman Old Style" w:cs="Arial"/>
          <w:b/>
          <w:color w:val="333333"/>
          <w:lang w:eastAsia="en-IN"/>
        </w:rPr>
        <w:t xml:space="preserve"> UNDER THE CONTROLLER GENERAL OF ACCOUNTS(CGA)</w:t>
      </w:r>
      <w:r w:rsidR="00675AFC" w:rsidRPr="008A0F81">
        <w:rPr>
          <w:rFonts w:ascii="Bookman Old Style" w:eastAsia="Times New Roman" w:hAnsi="Bookman Old Style" w:cs="Arial"/>
          <w:b/>
          <w:color w:val="333333"/>
          <w:lang w:eastAsia="en-IN"/>
        </w:rPr>
        <w:t>:</w:t>
      </w:r>
    </w:p>
    <w:p w:rsidR="002A5FB3" w:rsidRPr="008A0F81" w:rsidRDefault="002A5FB3" w:rsidP="00483150">
      <w:pPr>
        <w:shd w:val="clear" w:color="auto" w:fill="FFFFFF"/>
        <w:spacing w:after="0" w:line="240" w:lineRule="auto"/>
        <w:ind w:firstLine="720"/>
        <w:jc w:val="both"/>
        <w:rPr>
          <w:rFonts w:ascii="Bookman Old Style" w:eastAsia="Times New Roman" w:hAnsi="Bookman Old Style" w:cs="Arial"/>
          <w:b/>
          <w:color w:val="333333"/>
          <w:lang w:eastAsia="en-IN"/>
        </w:rPr>
      </w:pPr>
      <w:r w:rsidRPr="008A0F81">
        <w:rPr>
          <w:rFonts w:ascii="Bookman Old Style" w:hAnsi="Bookman Old Style"/>
        </w:rPr>
        <w:t xml:space="preserve">The separation of accounts from audit and the subsequent Departmentalization of Accounts in 1976 was a major administrative reform intended to improve the financial competence of Ministries and make accounts an </w:t>
      </w:r>
      <w:r w:rsidRPr="008A0F81">
        <w:rPr>
          <w:rFonts w:ascii="Bookman Old Style" w:hAnsi="Bookman Old Style"/>
        </w:rPr>
        <w:lastRenderedPageBreak/>
        <w:t xml:space="preserve">effective tool of management. Consequently, separate Organized Accounts Cadres were maintained or created, including the Indian Civil Accounts Service (ICAS), Indian Defence Accounts Service (IDAS), Indian Railway Accounts Service (IRAS), and the Indian P&amp;T Accounts and Finance Service (IP&amp;TAFS). While this fragmented system served the manual accounting era of the late 20th century, it has now become structurally obsolete, leading to severe administrative bottlenecks, unequal career progression, and an inefficient </w:t>
      </w:r>
      <w:proofErr w:type="spellStart"/>
      <w:r w:rsidRPr="008A0F81">
        <w:rPr>
          <w:rFonts w:ascii="Bookman Old Style" w:hAnsi="Bookman Old Style"/>
        </w:rPr>
        <w:t>siloing</w:t>
      </w:r>
      <w:proofErr w:type="spellEnd"/>
      <w:r w:rsidRPr="008A0F81">
        <w:rPr>
          <w:rFonts w:ascii="Bookman Old Style" w:hAnsi="Bookman Old Style"/>
        </w:rPr>
        <w:t xml:space="preserve"> of human resources.</w:t>
      </w:r>
    </w:p>
    <w:p w:rsidR="00C9440C" w:rsidRPr="008A0F81" w:rsidRDefault="000C33F1" w:rsidP="00C24E71">
      <w:pPr>
        <w:shd w:val="clear" w:color="auto" w:fill="FFFFFF"/>
        <w:spacing w:after="0" w:line="240" w:lineRule="auto"/>
        <w:ind w:firstLine="720"/>
        <w:jc w:val="both"/>
        <w:rPr>
          <w:rFonts w:ascii="Bookman Old Style" w:hAnsi="Bookman Old Style"/>
        </w:rPr>
      </w:pPr>
      <w:r w:rsidRPr="008A0F81">
        <w:rPr>
          <w:rFonts w:ascii="Bookman Old Style" w:hAnsi="Bookman Old Style"/>
        </w:rPr>
        <w:t>The primary justification for maintaining separate departmental accounts cadres was the geographical and functional isolation of physical records. Today, the rapid computerization of accounting data has fundamentally transformed this landscape. With the advent and universal implementation of the Public Financial Management System (PFMS), centralized access to compilation, booking, and consolidation of accounts is an established reality. The technological barriers that once necessitated separate Accounts Departments for Posts, Telecommunications, Defence, and Railways no longer exist. Maintaining separate cadres in an era of unified digital accounting is an administrative redundancy that results in unnecessary overhead and duplication of efforts.</w:t>
      </w:r>
    </w:p>
    <w:p w:rsidR="00C24E71" w:rsidRPr="008A0F81" w:rsidRDefault="00C24E71" w:rsidP="00C24E71">
      <w:pPr>
        <w:shd w:val="clear" w:color="auto" w:fill="FFFFFF"/>
        <w:spacing w:after="0" w:line="240" w:lineRule="auto"/>
        <w:ind w:firstLine="720"/>
        <w:jc w:val="both"/>
        <w:rPr>
          <w:rFonts w:ascii="Bookman Old Style" w:hAnsi="Bookman Old Style"/>
        </w:rPr>
      </w:pPr>
      <w:r w:rsidRPr="008A0F81">
        <w:rPr>
          <w:rFonts w:ascii="Bookman Old Style" w:hAnsi="Bookman Old Style"/>
        </w:rPr>
        <w:t>The necessity of centralized cadre management has already been recognized and implemented by the Supreme Audit Institution of the country. The C&amp;AG has recently dismantled its fragmented cadre controls by merging separate offices and creating centralized cadres for Central Revenue Audit (CRA) and Central Expenditure Audit (CEA) at the AAO and SAO levels, effective January 1, 2026. The C&amp;AG officially noted that fragmented control across multiple Cadre Controlling Authorities (CCAs) led to "inconsistent staffing, reduced mobility, and suboptimal alignment with organizational needs". The executive accounting apparatus under the Union Government suffers from the exact same systemic flaws and requires the identical structural remedy: a merger of all Organized Accounts Cadres into a single, centralized entity under the CGA.</w:t>
      </w:r>
    </w:p>
    <w:p w:rsidR="00C24E71" w:rsidRPr="008A0F81" w:rsidRDefault="00C24E71" w:rsidP="00C24E71">
      <w:pPr>
        <w:shd w:val="clear" w:color="auto" w:fill="FFFFFF"/>
        <w:spacing w:after="0" w:line="240" w:lineRule="auto"/>
        <w:ind w:firstLine="720"/>
        <w:jc w:val="both"/>
        <w:rPr>
          <w:rFonts w:ascii="Bookman Old Style" w:hAnsi="Bookman Old Style"/>
        </w:rPr>
      </w:pPr>
      <w:r w:rsidRPr="008A0F81">
        <w:rPr>
          <w:rFonts w:ascii="Bookman Old Style" w:hAnsi="Bookman Old Style"/>
        </w:rPr>
        <w:t>For a centralized accounts structure to function effectively, the merger cannot be restricted solely to Group A officers. It is imperative that the feeder cadres at the Group B (AAO, AO, SAO) and subordinate levels across IP&amp;TAFS, IDAS, IRAS, and Civil Accounts are fully integrated. Merging the Group B cadres is essential to draw a unified inter-se seniority list, ensuring that promotion prospects to Group A are equitable across all previously separated departments. Currently, promotion avenues are highly skewed depending on the size and stagnation levels of the individual departmental cadre. A single, unified cadre will allow for standardized, high-level training in modern management accountancy, replacing the fragmented and often unequal training capacities of individual departments</w:t>
      </w:r>
      <w:r w:rsidR="00EA1C2D" w:rsidRPr="008A0F81">
        <w:rPr>
          <w:rFonts w:ascii="Bookman Old Style" w:hAnsi="Bookman Old Style"/>
        </w:rPr>
        <w:t>.</w:t>
      </w:r>
    </w:p>
    <w:p w:rsidR="00EA1C2D" w:rsidRPr="008A0F81" w:rsidRDefault="00EA1C2D" w:rsidP="00C24E71">
      <w:pPr>
        <w:shd w:val="clear" w:color="auto" w:fill="FFFFFF"/>
        <w:spacing w:after="0" w:line="240" w:lineRule="auto"/>
        <w:ind w:firstLine="720"/>
        <w:jc w:val="both"/>
        <w:rPr>
          <w:rFonts w:ascii="Bookman Old Style" w:hAnsi="Bookman Old Style"/>
        </w:rPr>
      </w:pPr>
      <w:r w:rsidRPr="008A0F81">
        <w:rPr>
          <w:rFonts w:ascii="Bookman Old Style" w:hAnsi="Bookman Old Style"/>
        </w:rPr>
        <w:t xml:space="preserve">The current fragmented nature of smaller cadres, such as IP&amp;TAFS, often results in frequent and disruptive All-India transfers due to a limited pool of officers available to fill </w:t>
      </w:r>
      <w:proofErr w:type="gramStart"/>
      <w:r w:rsidRPr="008A0F81">
        <w:rPr>
          <w:rFonts w:ascii="Bookman Old Style" w:hAnsi="Bookman Old Style"/>
        </w:rPr>
        <w:t>pan</w:t>
      </w:r>
      <w:proofErr w:type="gramEnd"/>
      <w:r w:rsidRPr="008A0F81">
        <w:rPr>
          <w:rFonts w:ascii="Bookman Old Style" w:hAnsi="Bookman Old Style"/>
        </w:rPr>
        <w:t>-India vacancies. A unified, massive centralized cadre under the CGA would allow for a more humane and scientifically managed Human Resource policy. Drawing inspiration from the recent C&amp;AG reforms, a unified cadre can implement a centralized Transfer and Posting Policy that utilizes a "Base Station" and "Choice Stations" methodology. This allows employees to maintain geographic stability while giving the administration a vastly larger pool of personnel to deploy according to functional requirements, thereby improving both morale and productivity.</w:t>
      </w:r>
    </w:p>
    <w:p w:rsidR="00EA1C2D" w:rsidRPr="008A0F81" w:rsidRDefault="00EA1C2D" w:rsidP="00C24E71">
      <w:pPr>
        <w:shd w:val="clear" w:color="auto" w:fill="FFFFFF"/>
        <w:spacing w:after="0" w:line="240" w:lineRule="auto"/>
        <w:ind w:firstLine="720"/>
        <w:jc w:val="both"/>
        <w:rPr>
          <w:rFonts w:ascii="Bookman Old Style" w:hAnsi="Bookman Old Style"/>
        </w:rPr>
      </w:pPr>
      <w:r w:rsidRPr="008A0F81">
        <w:rPr>
          <w:rFonts w:ascii="Bookman Old Style" w:hAnsi="Bookman Old Style"/>
        </w:rPr>
        <w:t xml:space="preserve">In light of the technological unification of government accounting, the pressing need for equitable career progression, and the precedent set by the C&amp;AG, this Association strongly urges the 8th Central Pay Commission to recommend the complete merger of all Organized Accounts Cadres (IP&amp;TAFS, IDAS, IRAS, and ICAS)—including their respective Group B and subordinate feeder cadres—into a </w:t>
      </w:r>
      <w:r w:rsidRPr="008A0F81">
        <w:rPr>
          <w:rFonts w:ascii="Bookman Old Style" w:hAnsi="Bookman Old Style"/>
        </w:rPr>
        <w:lastRenderedPageBreak/>
        <w:t xml:space="preserve">single </w:t>
      </w:r>
      <w:r w:rsidRPr="008A0F81">
        <w:rPr>
          <w:rFonts w:ascii="Bookman Old Style" w:hAnsi="Bookman Old Style"/>
          <w:b/>
          <w:bCs/>
        </w:rPr>
        <w:t>Centralized Union Accounts Service</w:t>
      </w:r>
      <w:r w:rsidRPr="008A0F81">
        <w:rPr>
          <w:rFonts w:ascii="Bookman Old Style" w:hAnsi="Bookman Old Style"/>
        </w:rPr>
        <w:t xml:space="preserve"> under the administrative control of the Controller General of Accounts (CGA).</w:t>
      </w:r>
    </w:p>
    <w:p w:rsidR="00EA1C2D" w:rsidRPr="008A0F81" w:rsidRDefault="00EA1C2D" w:rsidP="00C24E71">
      <w:pPr>
        <w:shd w:val="clear" w:color="auto" w:fill="FFFFFF"/>
        <w:spacing w:after="0" w:line="240" w:lineRule="auto"/>
        <w:ind w:firstLine="720"/>
        <w:jc w:val="both"/>
        <w:rPr>
          <w:rFonts w:ascii="Bookman Old Style" w:hAnsi="Bookman Old Style"/>
        </w:rPr>
      </w:pPr>
    </w:p>
    <w:p w:rsidR="000C33F1" w:rsidRPr="008A0F81" w:rsidRDefault="000C33F1" w:rsidP="00D925C9">
      <w:pPr>
        <w:shd w:val="clear" w:color="auto" w:fill="FFFFFF"/>
        <w:spacing w:after="0" w:line="240" w:lineRule="auto"/>
        <w:jc w:val="both"/>
        <w:rPr>
          <w:rFonts w:ascii="Bookman Old Style" w:eastAsia="Times New Roman" w:hAnsi="Bookman Old Style" w:cs="Arial"/>
          <w:b/>
          <w:color w:val="333333"/>
          <w:lang w:eastAsia="en-IN"/>
        </w:rPr>
      </w:pPr>
    </w:p>
    <w:p w:rsidR="005F2653" w:rsidRPr="00736260" w:rsidRDefault="00C9440C" w:rsidP="00D925C9">
      <w:pPr>
        <w:shd w:val="clear" w:color="auto" w:fill="FFFFFF"/>
        <w:spacing w:after="0" w:line="240" w:lineRule="auto"/>
        <w:jc w:val="both"/>
        <w:rPr>
          <w:rFonts w:ascii="Bookman Old Style" w:hAnsi="Bookman Old Style"/>
          <w:b/>
        </w:rPr>
      </w:pPr>
      <w:r>
        <w:rPr>
          <w:rFonts w:ascii="Bookman Old Style" w:eastAsia="Times New Roman" w:hAnsi="Bookman Old Style" w:cs="Arial"/>
          <w:b/>
          <w:color w:val="333333"/>
          <w:lang w:eastAsia="en-IN"/>
        </w:rPr>
        <w:t>7.4</w:t>
      </w:r>
      <w:r w:rsidR="001B41DF" w:rsidRPr="00736260">
        <w:rPr>
          <w:rFonts w:ascii="Bookman Old Style" w:eastAsia="Times New Roman" w:hAnsi="Bookman Old Style" w:cs="Arial"/>
          <w:b/>
          <w:color w:val="333333"/>
          <w:lang w:eastAsia="en-IN"/>
        </w:rPr>
        <w:t xml:space="preserve"> </w:t>
      </w:r>
      <w:r w:rsidR="001B41DF" w:rsidRPr="00736260">
        <w:rPr>
          <w:rFonts w:ascii="Bookman Old Style" w:hAnsi="Bookman Old Style"/>
          <w:b/>
        </w:rPr>
        <w:t>RE</w:t>
      </w:r>
      <w:r w:rsidR="00670CC7">
        <w:rPr>
          <w:rFonts w:ascii="Bookman Old Style" w:hAnsi="Bookman Old Style"/>
          <w:b/>
        </w:rPr>
        <w:t>DUCTION OF DR QUOTA IN JTS TO 40</w:t>
      </w:r>
      <w:r w:rsidR="001B41DF" w:rsidRPr="00736260">
        <w:rPr>
          <w:rFonts w:ascii="Bookman Old Style" w:hAnsi="Bookman Old Style"/>
          <w:b/>
        </w:rPr>
        <w:t>%</w:t>
      </w:r>
      <w:r w:rsidR="00732937">
        <w:rPr>
          <w:rFonts w:ascii="Bookman Old Style" w:hAnsi="Bookman Old Style"/>
          <w:b/>
        </w:rPr>
        <w:t>:</w:t>
      </w:r>
    </w:p>
    <w:p w:rsidR="00927426" w:rsidRDefault="00927426" w:rsidP="00927426">
      <w:pPr>
        <w:spacing w:after="0" w:line="240" w:lineRule="auto"/>
        <w:ind w:firstLine="720"/>
        <w:jc w:val="both"/>
        <w:rPr>
          <w:rFonts w:ascii="Bookman Old Style" w:hAnsi="Bookman Old Style"/>
        </w:rPr>
      </w:pPr>
      <w:r>
        <w:rPr>
          <w:rFonts w:ascii="Bookman Old Style" w:hAnsi="Bookman Old Style"/>
        </w:rPr>
        <w:t>The posts of Assistant Accounts/Audit Officer are filled up through LDCE from Departmental employees who pass SAS/SAS Equivalent Examinations and also through Direct Recruitment from SSC or through Deputations. The cadre strength of Organized Accounts Cadre from AAO to JTS are furnished below.</w:t>
      </w:r>
    </w:p>
    <w:p w:rsidR="00CD12E2" w:rsidRDefault="00CD12E2" w:rsidP="00CD12E2">
      <w:pPr>
        <w:spacing w:after="0" w:line="240" w:lineRule="auto"/>
        <w:ind w:firstLine="720"/>
        <w:jc w:val="both"/>
        <w:rPr>
          <w:rFonts w:ascii="Bookman Old Style" w:hAnsi="Bookman Old Style"/>
        </w:rPr>
      </w:pPr>
    </w:p>
    <w:tbl>
      <w:tblPr>
        <w:tblStyle w:val="TableGrid"/>
        <w:tblW w:w="9360" w:type="dxa"/>
        <w:tblInd w:w="-275" w:type="dxa"/>
        <w:tblLook w:val="04A0" w:firstRow="1" w:lastRow="0" w:firstColumn="1" w:lastColumn="0" w:noHBand="0" w:noVBand="1"/>
      </w:tblPr>
      <w:tblGrid>
        <w:gridCol w:w="1803"/>
        <w:gridCol w:w="1803"/>
        <w:gridCol w:w="1803"/>
        <w:gridCol w:w="1803"/>
        <w:gridCol w:w="2148"/>
      </w:tblGrid>
      <w:tr w:rsidR="00CD12E2" w:rsidTr="009C1C7B">
        <w:trPr>
          <w:trHeight w:val="228"/>
        </w:trPr>
        <w:tc>
          <w:tcPr>
            <w:tcW w:w="1803" w:type="dxa"/>
            <w:vMerge w:val="restart"/>
          </w:tcPr>
          <w:p w:rsidR="00CD12E2" w:rsidRPr="002D24CE" w:rsidRDefault="00CD12E2" w:rsidP="0070213E">
            <w:pPr>
              <w:jc w:val="both"/>
              <w:rPr>
                <w:rFonts w:ascii="Bookman Old Style" w:eastAsia="Times New Roman" w:hAnsi="Bookman Old Style" w:cs="Times New Roman"/>
                <w:b/>
                <w:lang w:eastAsia="en-IN"/>
              </w:rPr>
            </w:pPr>
            <w:r w:rsidRPr="002D24CE">
              <w:rPr>
                <w:rFonts w:ascii="Bookman Old Style" w:eastAsia="Times New Roman" w:hAnsi="Bookman Old Style" w:cs="Times New Roman"/>
                <w:b/>
                <w:lang w:eastAsia="en-IN"/>
              </w:rPr>
              <w:t>Name of the Posts</w:t>
            </w:r>
          </w:p>
        </w:tc>
        <w:tc>
          <w:tcPr>
            <w:tcW w:w="7557" w:type="dxa"/>
            <w:gridSpan w:val="4"/>
          </w:tcPr>
          <w:p w:rsidR="00CD12E2" w:rsidRPr="002D24CE" w:rsidRDefault="00CD12E2" w:rsidP="0070213E">
            <w:pPr>
              <w:jc w:val="center"/>
              <w:rPr>
                <w:rFonts w:ascii="Bookman Old Style" w:eastAsia="Times New Roman" w:hAnsi="Bookman Old Style" w:cs="Times New Roman"/>
                <w:b/>
                <w:lang w:eastAsia="en-IN"/>
              </w:rPr>
            </w:pPr>
            <w:r w:rsidRPr="002D24CE">
              <w:rPr>
                <w:rFonts w:ascii="Bookman Old Style" w:eastAsia="Times New Roman" w:hAnsi="Bookman Old Style" w:cs="Times New Roman"/>
                <w:b/>
                <w:lang w:eastAsia="en-IN"/>
              </w:rPr>
              <w:t>Number of Posts in various Departments</w:t>
            </w:r>
          </w:p>
        </w:tc>
      </w:tr>
      <w:tr w:rsidR="00CD12E2" w:rsidTr="009C1C7B">
        <w:trPr>
          <w:trHeight w:val="292"/>
        </w:trPr>
        <w:tc>
          <w:tcPr>
            <w:tcW w:w="1803" w:type="dxa"/>
            <w:vMerge/>
          </w:tcPr>
          <w:p w:rsidR="00CD12E2" w:rsidRPr="002D24CE" w:rsidRDefault="00CD12E2" w:rsidP="0070213E">
            <w:pPr>
              <w:jc w:val="both"/>
              <w:rPr>
                <w:rFonts w:ascii="Bookman Old Style" w:eastAsia="Times New Roman" w:hAnsi="Bookman Old Style" w:cs="Times New Roman"/>
                <w:b/>
                <w:lang w:eastAsia="en-IN"/>
              </w:rPr>
            </w:pP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P&amp;T</w:t>
            </w: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Defence</w:t>
            </w: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CGA</w:t>
            </w:r>
          </w:p>
        </w:tc>
        <w:tc>
          <w:tcPr>
            <w:tcW w:w="2148"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CAG</w:t>
            </w:r>
          </w:p>
        </w:tc>
      </w:tr>
      <w:tr w:rsidR="00CD12E2" w:rsidTr="009C1C7B">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AAO</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1208</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3690</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2153</w:t>
            </w:r>
          </w:p>
        </w:tc>
        <w:tc>
          <w:tcPr>
            <w:tcW w:w="2148"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11936</w:t>
            </w:r>
          </w:p>
        </w:tc>
      </w:tr>
      <w:tr w:rsidR="00CD12E2" w:rsidTr="009C1C7B">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AO/Sr. AO (Merged)</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470</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2108</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1159</w:t>
            </w:r>
          </w:p>
        </w:tc>
        <w:tc>
          <w:tcPr>
            <w:tcW w:w="2148"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5510</w:t>
            </w:r>
          </w:p>
        </w:tc>
      </w:tr>
      <w:tr w:rsidR="00CD12E2" w:rsidTr="009C1C7B">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JTS/Non-IAAS Promotional Posts to Sr. AO</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88 (Only 44 Posts for SCF 50% Quota)</w:t>
            </w:r>
          </w:p>
        </w:tc>
        <w:tc>
          <w:tcPr>
            <w:tcW w:w="1803" w:type="dxa"/>
          </w:tcPr>
          <w:p w:rsidR="00CD12E2" w:rsidRDefault="00CD12E2" w:rsidP="0070213E">
            <w:r>
              <w:rPr>
                <w:rFonts w:ascii="Bookman Old Style" w:eastAsia="Times New Roman" w:hAnsi="Bookman Old Style" w:cs="Times New Roman"/>
                <w:lang w:eastAsia="en-IN"/>
              </w:rPr>
              <w:t>167 (Only 83</w:t>
            </w:r>
            <w:r w:rsidRPr="003D209B">
              <w:rPr>
                <w:rFonts w:ascii="Bookman Old Style" w:eastAsia="Times New Roman" w:hAnsi="Bookman Old Style" w:cs="Times New Roman"/>
                <w:lang w:eastAsia="en-IN"/>
              </w:rPr>
              <w:t xml:space="preserve"> Posts for SCF 50% Quota)</w:t>
            </w:r>
          </w:p>
        </w:tc>
        <w:tc>
          <w:tcPr>
            <w:tcW w:w="1803" w:type="dxa"/>
          </w:tcPr>
          <w:p w:rsidR="00CD12E2" w:rsidRDefault="00CD12E2" w:rsidP="0070213E">
            <w:r w:rsidRPr="003D209B">
              <w:rPr>
                <w:rFonts w:ascii="Bookman Old Style" w:eastAsia="Times New Roman" w:hAnsi="Bookman Old Style" w:cs="Times New Roman"/>
                <w:lang w:eastAsia="en-IN"/>
              </w:rPr>
              <w:t>8</w:t>
            </w:r>
            <w:r>
              <w:rPr>
                <w:rFonts w:ascii="Bookman Old Style" w:eastAsia="Times New Roman" w:hAnsi="Bookman Old Style" w:cs="Times New Roman"/>
                <w:lang w:eastAsia="en-IN"/>
              </w:rPr>
              <w:t>0 (Only 40</w:t>
            </w:r>
            <w:r w:rsidRPr="003D209B">
              <w:rPr>
                <w:rFonts w:ascii="Bookman Old Style" w:eastAsia="Times New Roman" w:hAnsi="Bookman Old Style" w:cs="Times New Roman"/>
                <w:lang w:eastAsia="en-IN"/>
              </w:rPr>
              <w:t xml:space="preserve"> Posts for SCF 50% Quota)</w:t>
            </w:r>
          </w:p>
        </w:tc>
        <w:tc>
          <w:tcPr>
            <w:tcW w:w="2148" w:type="dxa"/>
          </w:tcPr>
          <w:p w:rsidR="00CD12E2" w:rsidRDefault="00CD12E2" w:rsidP="0070213E">
            <w:r>
              <w:rPr>
                <w:rFonts w:ascii="Bookman Old Style" w:eastAsia="Times New Roman" w:hAnsi="Bookman Old Style" w:cs="Times New Roman"/>
                <w:lang w:eastAsia="en-IN"/>
              </w:rPr>
              <w:t>127 (Only 64</w:t>
            </w:r>
            <w:r w:rsidRPr="003D209B">
              <w:rPr>
                <w:rFonts w:ascii="Bookman Old Style" w:eastAsia="Times New Roman" w:hAnsi="Bookman Old Style" w:cs="Times New Roman"/>
                <w:lang w:eastAsia="en-IN"/>
              </w:rPr>
              <w:t xml:space="preserve"> Posts for SCF 50% Quota)</w:t>
            </w:r>
            <w:r>
              <w:rPr>
                <w:rFonts w:ascii="Bookman Old Style" w:eastAsia="Times New Roman" w:hAnsi="Bookman Old Style" w:cs="Times New Roman"/>
                <w:lang w:eastAsia="en-IN"/>
              </w:rPr>
              <w:t xml:space="preserve"> and 172 Non-IAAS Group A DAG/DD Posts in CAG. </w:t>
            </w:r>
            <w:r w:rsidRPr="00D17EAF">
              <w:rPr>
                <w:rFonts w:ascii="Bookman Old Style" w:eastAsia="Times New Roman" w:hAnsi="Bookman Old Style" w:cs="Times New Roman"/>
                <w:b/>
                <w:lang w:eastAsia="en-IN"/>
              </w:rPr>
              <w:t>Total 236 Posts</w:t>
            </w:r>
          </w:p>
        </w:tc>
      </w:tr>
    </w:tbl>
    <w:p w:rsidR="00CD12E2" w:rsidRDefault="00CD12E2" w:rsidP="00CD12E2">
      <w:pPr>
        <w:spacing w:after="0" w:line="240" w:lineRule="auto"/>
        <w:ind w:firstLine="720"/>
        <w:jc w:val="both"/>
        <w:rPr>
          <w:rFonts w:ascii="Bookman Old Style" w:eastAsia="Times New Roman" w:hAnsi="Bookman Old Style" w:cs="Times New Roman"/>
          <w:lang w:eastAsia="en-IN"/>
        </w:rPr>
      </w:pPr>
    </w:p>
    <w:p w:rsidR="00CD12E2" w:rsidRDefault="00CD12E2" w:rsidP="00CD12E2">
      <w:pPr>
        <w:spacing w:after="0" w:line="240" w:lineRule="auto"/>
        <w:ind w:firstLine="720"/>
        <w:jc w:val="both"/>
        <w:rPr>
          <w:rFonts w:ascii="Bookman Old Style" w:eastAsia="Times New Roman" w:hAnsi="Bookman Old Style" w:cs="Times New Roman"/>
          <w:lang w:eastAsia="en-IN"/>
        </w:rPr>
      </w:pPr>
    </w:p>
    <w:tbl>
      <w:tblPr>
        <w:tblStyle w:val="TableGrid"/>
        <w:tblW w:w="9265" w:type="dxa"/>
        <w:tblLook w:val="04A0" w:firstRow="1" w:lastRow="0" w:firstColumn="1" w:lastColumn="0" w:noHBand="0" w:noVBand="1"/>
      </w:tblPr>
      <w:tblGrid>
        <w:gridCol w:w="1803"/>
        <w:gridCol w:w="1803"/>
        <w:gridCol w:w="1803"/>
        <w:gridCol w:w="1803"/>
        <w:gridCol w:w="2053"/>
      </w:tblGrid>
      <w:tr w:rsidR="00CD12E2" w:rsidRPr="002D24CE" w:rsidTr="0070213E">
        <w:trPr>
          <w:trHeight w:val="228"/>
        </w:trPr>
        <w:tc>
          <w:tcPr>
            <w:tcW w:w="1803" w:type="dxa"/>
            <w:vMerge w:val="restart"/>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Promotion from Post to Post</w:t>
            </w:r>
          </w:p>
        </w:tc>
        <w:tc>
          <w:tcPr>
            <w:tcW w:w="7462" w:type="dxa"/>
            <w:gridSpan w:val="4"/>
          </w:tcPr>
          <w:p w:rsidR="00CD12E2" w:rsidRPr="002D24CE" w:rsidRDefault="00CD12E2" w:rsidP="0070213E">
            <w:pPr>
              <w:jc w:val="center"/>
              <w:rPr>
                <w:rFonts w:ascii="Bookman Old Style" w:eastAsia="Times New Roman" w:hAnsi="Bookman Old Style" w:cs="Times New Roman"/>
                <w:b/>
                <w:lang w:eastAsia="en-IN"/>
              </w:rPr>
            </w:pPr>
            <w:r>
              <w:rPr>
                <w:rFonts w:ascii="Bookman Old Style" w:eastAsia="Times New Roman" w:hAnsi="Bookman Old Style" w:cs="Times New Roman"/>
                <w:b/>
                <w:lang w:eastAsia="en-IN"/>
              </w:rPr>
              <w:t>Ratio between promotional posts resulting stagnation</w:t>
            </w:r>
          </w:p>
        </w:tc>
      </w:tr>
      <w:tr w:rsidR="00CD12E2" w:rsidRPr="002D24CE" w:rsidTr="0070213E">
        <w:trPr>
          <w:trHeight w:val="292"/>
        </w:trPr>
        <w:tc>
          <w:tcPr>
            <w:tcW w:w="1803" w:type="dxa"/>
            <w:vMerge/>
          </w:tcPr>
          <w:p w:rsidR="00CD12E2" w:rsidRPr="002D24CE" w:rsidRDefault="00CD12E2" w:rsidP="0070213E">
            <w:pPr>
              <w:jc w:val="both"/>
              <w:rPr>
                <w:rFonts w:ascii="Bookman Old Style" w:eastAsia="Times New Roman" w:hAnsi="Bookman Old Style" w:cs="Times New Roman"/>
                <w:b/>
                <w:lang w:eastAsia="en-IN"/>
              </w:rPr>
            </w:pP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P&amp;T</w:t>
            </w: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Defence</w:t>
            </w:r>
          </w:p>
        </w:tc>
        <w:tc>
          <w:tcPr>
            <w:tcW w:w="180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CGA</w:t>
            </w:r>
          </w:p>
        </w:tc>
        <w:tc>
          <w:tcPr>
            <w:tcW w:w="2053" w:type="dxa"/>
          </w:tcPr>
          <w:p w:rsidR="00CD12E2" w:rsidRPr="002D24CE" w:rsidRDefault="00CD12E2" w:rsidP="0070213E">
            <w:pPr>
              <w:jc w:val="both"/>
              <w:rPr>
                <w:rFonts w:ascii="Bookman Old Style" w:eastAsia="Times New Roman" w:hAnsi="Bookman Old Style" w:cs="Times New Roman"/>
                <w:b/>
                <w:lang w:eastAsia="en-IN"/>
              </w:rPr>
            </w:pPr>
            <w:r>
              <w:rPr>
                <w:rFonts w:ascii="Bookman Old Style" w:eastAsia="Times New Roman" w:hAnsi="Bookman Old Style" w:cs="Times New Roman"/>
                <w:b/>
                <w:lang w:eastAsia="en-IN"/>
              </w:rPr>
              <w:t>CAG</w:t>
            </w:r>
          </w:p>
        </w:tc>
      </w:tr>
      <w:tr w:rsidR="00CD12E2" w:rsidTr="0070213E">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AAO to Sr. AO</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2.6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1.8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1.9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205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2.2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r>
      <w:tr w:rsidR="00CD12E2" w:rsidTr="0070213E">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Sr. AO to JTS/ Non-IAAS Promotional Posts to Sr. AO</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11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25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29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205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23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r>
      <w:tr w:rsidR="00CD12E2" w:rsidTr="0070213E">
        <w:tc>
          <w:tcPr>
            <w:tcW w:w="1803" w:type="dxa"/>
          </w:tcPr>
          <w:p w:rsidR="00CD12E2" w:rsidRDefault="00CD12E2" w:rsidP="0070213E">
            <w:pPr>
              <w:jc w:val="both"/>
              <w:rPr>
                <w:rFonts w:ascii="Bookman Old Style" w:eastAsia="Times New Roman" w:hAnsi="Bookman Old Style" w:cs="Times New Roman"/>
                <w:lang w:eastAsia="en-IN"/>
              </w:rPr>
            </w:pPr>
            <w:proofErr w:type="spellStart"/>
            <w:r>
              <w:rPr>
                <w:rFonts w:ascii="Bookman Old Style" w:eastAsia="Times New Roman" w:hAnsi="Bookman Old Style" w:cs="Times New Roman"/>
                <w:lang w:eastAsia="en-IN"/>
              </w:rPr>
              <w:t>AAO+Sr</w:t>
            </w:r>
            <w:proofErr w:type="spellEnd"/>
            <w:r>
              <w:rPr>
                <w:rFonts w:ascii="Bookman Old Style" w:eastAsia="Times New Roman" w:hAnsi="Bookman Old Style" w:cs="Times New Roman"/>
                <w:lang w:eastAsia="en-IN"/>
              </w:rPr>
              <w:t>. AO to JTS/ Non-IAAS Promotional Posts to Sr. AO</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38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70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180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83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c>
          <w:tcPr>
            <w:tcW w:w="2053" w:type="dxa"/>
          </w:tcPr>
          <w:p w:rsidR="00CD12E2" w:rsidRDefault="00CD12E2" w:rsidP="0070213E">
            <w:pPr>
              <w:jc w:val="both"/>
              <w:rPr>
                <w:rFonts w:ascii="Bookman Old Style" w:eastAsia="Times New Roman" w:hAnsi="Bookman Old Style" w:cs="Times New Roman"/>
                <w:lang w:eastAsia="en-IN"/>
              </w:rPr>
            </w:pPr>
            <w:r>
              <w:rPr>
                <w:rFonts w:ascii="Bookman Old Style" w:eastAsia="Times New Roman" w:hAnsi="Bookman Old Style" w:cs="Times New Roman"/>
                <w:b/>
                <w:lang w:eastAsia="en-IN"/>
              </w:rPr>
              <w:t xml:space="preserve">74 </w:t>
            </w:r>
            <w:r w:rsidRPr="00B568C3">
              <w:rPr>
                <w:rFonts w:ascii="Bookman Old Style" w:eastAsia="Times New Roman" w:hAnsi="Bookman Old Style" w:cs="Times New Roman"/>
                <w:sz w:val="26"/>
                <w:lang w:eastAsia="en-IN"/>
              </w:rPr>
              <w:t>:</w:t>
            </w:r>
            <w:r>
              <w:rPr>
                <w:rFonts w:ascii="Bookman Old Style" w:eastAsia="Times New Roman" w:hAnsi="Bookman Old Style" w:cs="Times New Roman"/>
                <w:lang w:eastAsia="en-IN"/>
              </w:rPr>
              <w:t xml:space="preserve"> 1</w:t>
            </w:r>
          </w:p>
        </w:tc>
      </w:tr>
    </w:tbl>
    <w:p w:rsidR="00927426" w:rsidRDefault="00927426" w:rsidP="00927426">
      <w:pPr>
        <w:spacing w:after="0"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t>While observing the stagnation at AAO Cadre, it is evident that reaching any pay level beyond Level 10 by AAOs becoming impossible to reach in entire service by most of the cadre men. Further, even though Sr. AOs are granted Group A status, they are not treated at par which Organized Group A Service Officers who are getting time-bound NFU irrespective of their promotions when their junior get promoted as per DOPT OM no. AB.14017/64/2008-</w:t>
      </w:r>
      <w:proofErr w:type="gramStart"/>
      <w:r>
        <w:rPr>
          <w:rFonts w:ascii="Bookman Old Style" w:eastAsia="Times New Roman" w:hAnsi="Bookman Old Style" w:cs="Times New Roman"/>
          <w:lang w:eastAsia="en-IN"/>
        </w:rPr>
        <w:t>Estt.(</w:t>
      </w:r>
      <w:proofErr w:type="gramEnd"/>
      <w:r>
        <w:rPr>
          <w:rFonts w:ascii="Bookman Old Style" w:eastAsia="Times New Roman" w:hAnsi="Bookman Old Style" w:cs="Times New Roman"/>
          <w:lang w:eastAsia="en-IN"/>
        </w:rPr>
        <w:t>RR) dated 24.04.2009.  This is huge injustice t</w:t>
      </w:r>
      <w:r w:rsidR="00187654">
        <w:rPr>
          <w:rFonts w:ascii="Bookman Old Style" w:eastAsia="Times New Roman" w:hAnsi="Bookman Old Style" w:cs="Times New Roman"/>
          <w:lang w:eastAsia="en-IN"/>
        </w:rPr>
        <w:t>o the Organized Accounts Cadre.</w:t>
      </w:r>
    </w:p>
    <w:p w:rsidR="00F65BD9" w:rsidRDefault="00187654" w:rsidP="00F65BD9">
      <w:pPr>
        <w:spacing w:after="0"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ab/>
        <w:t xml:space="preserve">Hence, this Association requests to reduce DR Quota to </w:t>
      </w:r>
      <w:r w:rsidR="00670CC7">
        <w:rPr>
          <w:rFonts w:ascii="Bookman Old Style" w:eastAsia="Times New Roman" w:hAnsi="Bookman Old Style" w:cs="Times New Roman"/>
          <w:lang w:eastAsia="en-IN"/>
        </w:rPr>
        <w:t>Organized Group A services to 40</w:t>
      </w:r>
      <w:r>
        <w:rPr>
          <w:rFonts w:ascii="Bookman Old Style" w:eastAsia="Times New Roman" w:hAnsi="Bookman Old Style" w:cs="Times New Roman"/>
          <w:lang w:eastAsia="en-IN"/>
        </w:rPr>
        <w:t>% and p</w:t>
      </w:r>
      <w:r w:rsidR="00670CC7">
        <w:rPr>
          <w:rFonts w:ascii="Bookman Old Style" w:eastAsia="Times New Roman" w:hAnsi="Bookman Old Style" w:cs="Times New Roman"/>
          <w:lang w:eastAsia="en-IN"/>
        </w:rPr>
        <w:t>rovide 60</w:t>
      </w:r>
      <w:r>
        <w:rPr>
          <w:rFonts w:ascii="Bookman Old Style" w:eastAsia="Times New Roman" w:hAnsi="Bookman Old Style" w:cs="Times New Roman"/>
          <w:lang w:eastAsia="en-IN"/>
        </w:rPr>
        <w:t xml:space="preserve">% SCF Quota opportunity to </w:t>
      </w:r>
      <w:proofErr w:type="spellStart"/>
      <w:r w:rsidR="002A4179">
        <w:rPr>
          <w:rFonts w:ascii="Bookman Old Style" w:eastAsia="Times New Roman" w:hAnsi="Bookman Old Style" w:cs="Times New Roman"/>
          <w:lang w:eastAsia="en-IN"/>
        </w:rPr>
        <w:t>Promotee</w:t>
      </w:r>
      <w:proofErr w:type="spellEnd"/>
      <w:r w:rsidR="002A4179">
        <w:rPr>
          <w:rFonts w:ascii="Bookman Old Style" w:eastAsia="Times New Roman" w:hAnsi="Bookman Old Style" w:cs="Times New Roman"/>
          <w:lang w:eastAsia="en-IN"/>
        </w:rPr>
        <w:t xml:space="preserve"> Officers (SAOs)</w:t>
      </w:r>
      <w:r w:rsidR="005A6F0B">
        <w:rPr>
          <w:rFonts w:ascii="Bookman Old Style" w:eastAsia="Times New Roman" w:hAnsi="Bookman Old Style" w:cs="Times New Roman"/>
          <w:lang w:eastAsia="en-IN"/>
        </w:rPr>
        <w:t>.</w:t>
      </w:r>
    </w:p>
    <w:p w:rsidR="00F65BD9" w:rsidRDefault="00F65BD9" w:rsidP="00F65BD9">
      <w:pPr>
        <w:spacing w:after="0" w:line="240" w:lineRule="auto"/>
        <w:jc w:val="both"/>
        <w:rPr>
          <w:rFonts w:ascii="Bookman Old Style" w:eastAsia="Times New Roman" w:hAnsi="Bookman Old Style" w:cs="Times New Roman"/>
          <w:lang w:eastAsia="en-IN"/>
        </w:rPr>
      </w:pPr>
    </w:p>
    <w:p w:rsidR="00F65BD9" w:rsidRDefault="00F65BD9" w:rsidP="00F65BD9">
      <w:pPr>
        <w:spacing w:after="0" w:line="240" w:lineRule="auto"/>
        <w:jc w:val="both"/>
        <w:rPr>
          <w:rFonts w:ascii="Bookman Old Style" w:eastAsia="Times New Roman" w:hAnsi="Bookman Old Style" w:cs="Times New Roman"/>
          <w:lang w:eastAsia="en-IN"/>
        </w:rPr>
      </w:pPr>
    </w:p>
    <w:p w:rsidR="00C45DB9" w:rsidRPr="00F65BD9" w:rsidRDefault="003F0F13" w:rsidP="00F65BD9">
      <w:pPr>
        <w:spacing w:after="0" w:line="240" w:lineRule="auto"/>
        <w:jc w:val="both"/>
        <w:rPr>
          <w:rFonts w:ascii="Bookman Old Style" w:eastAsia="Times New Roman" w:hAnsi="Bookman Old Style" w:cs="Times New Roman"/>
          <w:lang w:eastAsia="en-IN"/>
        </w:rPr>
      </w:pPr>
      <w:r w:rsidRPr="00736260">
        <w:rPr>
          <w:rFonts w:ascii="Bookman Old Style" w:eastAsia="Times New Roman" w:hAnsi="Bookman Old Style" w:cs="Arial"/>
          <w:b/>
          <w:bCs/>
          <w:color w:val="333333"/>
          <w:highlight w:val="yellow"/>
          <w:lang w:eastAsia="en-IN"/>
        </w:rPr>
        <w:t xml:space="preserve">8 - </w:t>
      </w:r>
      <w:r w:rsidR="00C45DB9" w:rsidRPr="00736260">
        <w:rPr>
          <w:rFonts w:ascii="Bookman Old Style" w:eastAsia="Times New Roman" w:hAnsi="Bookman Old Style" w:cs="Arial"/>
          <w:b/>
          <w:bCs/>
          <w:color w:val="333333"/>
          <w:highlight w:val="yellow"/>
          <w:lang w:eastAsia="en-IN"/>
        </w:rPr>
        <w:t>Career Progression</w:t>
      </w:r>
    </w:p>
    <w:p w:rsidR="00B07446" w:rsidRPr="00C14FD8" w:rsidRDefault="00C45DB9" w:rsidP="00B07446">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Q8. What concerns / views do you face related to Career Progression?</w:t>
      </w:r>
      <w:r w:rsidR="00EE4A75">
        <w:rPr>
          <w:rFonts w:ascii="Bookman Old Style" w:eastAsia="Times New Roman" w:hAnsi="Bookman Old Style" w:cs="Arial"/>
          <w:b/>
          <w:bCs/>
          <w:color w:val="333333"/>
          <w:lang w:eastAsia="en-IN"/>
        </w:rPr>
        <w:t xml:space="preserve"> (1273 Characters)</w:t>
      </w:r>
      <w:r w:rsidR="00334BE9">
        <w:rPr>
          <w:rFonts w:ascii="Bookman Old Style" w:eastAsia="Times New Roman" w:hAnsi="Bookman Old Style" w:cs="Arial"/>
          <w:b/>
          <w:bCs/>
          <w:color w:val="333333"/>
          <w:lang w:eastAsia="en-IN"/>
        </w:rPr>
        <w:t xml:space="preserve"> </w:t>
      </w:r>
      <w:r w:rsidR="00584375">
        <w:rPr>
          <w:rFonts w:ascii="Bookman Old Style" w:eastAsia="Times New Roman" w:hAnsi="Bookman Old Style" w:cs="Arial"/>
          <w:b/>
          <w:bCs/>
          <w:color w:val="333333"/>
          <w:lang w:eastAsia="en-IN"/>
        </w:rPr>
        <w:t xml:space="preserve"> </w:t>
      </w:r>
    </w:p>
    <w:p w:rsidR="00C45DB9" w:rsidRPr="00736260" w:rsidRDefault="00C45DB9" w:rsidP="00D925C9">
      <w:pPr>
        <w:shd w:val="clear" w:color="auto" w:fill="FFFFFF"/>
        <w:spacing w:after="0" w:line="240" w:lineRule="auto"/>
        <w:jc w:val="both"/>
        <w:rPr>
          <w:rFonts w:ascii="Bookman Old Style" w:eastAsia="Times New Roman" w:hAnsi="Bookman Old Style" w:cs="Arial"/>
          <w:color w:val="333333"/>
          <w:lang w:eastAsia="en-IN"/>
        </w:rPr>
      </w:pPr>
    </w:p>
    <w:p w:rsidR="00B708D0" w:rsidRPr="00736260" w:rsidRDefault="0092106E" w:rsidP="00E13301">
      <w:pPr>
        <w:shd w:val="clear" w:color="auto" w:fill="FFFFFF"/>
        <w:spacing w:after="0" w:line="240" w:lineRule="auto"/>
        <w:jc w:val="both"/>
        <w:rPr>
          <w:rFonts w:ascii="Bookman Old Style" w:hAnsi="Bookman Old Style"/>
          <w:b/>
        </w:rPr>
      </w:pPr>
      <w:r>
        <w:rPr>
          <w:rFonts w:ascii="Bookman Old Style" w:hAnsi="Bookman Old Style"/>
          <w:b/>
        </w:rPr>
        <w:lastRenderedPageBreak/>
        <w:t>8</w:t>
      </w:r>
      <w:r w:rsidR="00B708D0" w:rsidRPr="00736260">
        <w:rPr>
          <w:rFonts w:ascii="Bookman Old Style" w:hAnsi="Bookman Old Style"/>
          <w:b/>
        </w:rPr>
        <w:t>.</w:t>
      </w:r>
      <w:r w:rsidR="00211AAB">
        <w:rPr>
          <w:rFonts w:ascii="Bookman Old Style" w:hAnsi="Bookman Old Style"/>
          <w:b/>
        </w:rPr>
        <w:t>1</w:t>
      </w:r>
      <w:r w:rsidR="00B708D0" w:rsidRPr="00736260">
        <w:rPr>
          <w:rFonts w:ascii="Bookman Old Style" w:hAnsi="Bookman Old Style"/>
          <w:b/>
        </w:rPr>
        <w:t xml:space="preserve"> </w:t>
      </w:r>
      <w:r w:rsidR="00E13301" w:rsidRPr="00736260">
        <w:rPr>
          <w:rFonts w:ascii="Bookman Old Style" w:hAnsi="Bookman Old Style"/>
          <w:b/>
        </w:rPr>
        <w:t xml:space="preserve">REDUCE RESIDENCY </w:t>
      </w:r>
      <w:r w:rsidR="003026BE">
        <w:rPr>
          <w:rFonts w:ascii="Bookman Old Style" w:hAnsi="Bookman Old Style"/>
          <w:b/>
        </w:rPr>
        <w:t>PERIOD FROM 7 YEARS TO 2</w:t>
      </w:r>
      <w:r w:rsidR="00E13301" w:rsidRPr="00736260">
        <w:rPr>
          <w:rFonts w:ascii="Bookman Old Style" w:hAnsi="Bookman Old Style"/>
          <w:b/>
        </w:rPr>
        <w:t xml:space="preserve"> YEARS FOR PROMOTION FROM AAO TO SR. AO GROUP A IN ORGANIZED ACCOUNTS CADRE:</w:t>
      </w:r>
    </w:p>
    <w:p w:rsidR="00F65BD9" w:rsidRDefault="00A74CB6" w:rsidP="00F65BD9">
      <w:pPr>
        <w:shd w:val="clear" w:color="auto" w:fill="FFFFFF"/>
        <w:spacing w:after="0" w:line="240" w:lineRule="auto"/>
        <w:jc w:val="both"/>
        <w:rPr>
          <w:rFonts w:ascii="Bookman Old Style" w:hAnsi="Bookman Old Style"/>
        </w:rPr>
      </w:pPr>
      <w:r w:rsidRPr="00A174E7">
        <w:rPr>
          <w:rFonts w:ascii="Bookman Old Style" w:eastAsia="Times New Roman" w:hAnsi="Bookman Old Style" w:cs="Arial"/>
          <w:color w:val="333333"/>
          <w:lang w:eastAsia="en-IN"/>
        </w:rPr>
        <w:tab/>
      </w:r>
      <w:r w:rsidR="00A174E7">
        <w:rPr>
          <w:rFonts w:ascii="Bookman Old Style" w:eastAsia="Times New Roman" w:hAnsi="Bookman Old Style" w:cs="Arial"/>
          <w:color w:val="333333"/>
          <w:lang w:eastAsia="en-IN"/>
        </w:rPr>
        <w:t xml:space="preserve">As per Recruitment Rules of Senior Accounts Officer Group A, the residency period in feeder cadre AAO for promotion is </w:t>
      </w:r>
      <w:r w:rsidR="008C0807">
        <w:rPr>
          <w:rFonts w:ascii="Bookman Old Style" w:eastAsia="Times New Roman" w:hAnsi="Bookman Old Style" w:cs="Arial"/>
          <w:color w:val="333333"/>
          <w:lang w:eastAsia="en-IN"/>
        </w:rPr>
        <w:t xml:space="preserve">fixed as 7 </w:t>
      </w:r>
      <w:proofErr w:type="gramStart"/>
      <w:r w:rsidR="008C0807">
        <w:rPr>
          <w:rFonts w:ascii="Bookman Old Style" w:eastAsia="Times New Roman" w:hAnsi="Bookman Old Style" w:cs="Arial"/>
          <w:color w:val="333333"/>
          <w:lang w:eastAsia="en-IN"/>
        </w:rPr>
        <w:t>years</w:t>
      </w:r>
      <w:proofErr w:type="gramEnd"/>
      <w:r w:rsidR="008C0807">
        <w:rPr>
          <w:rFonts w:ascii="Bookman Old Style" w:eastAsia="Times New Roman" w:hAnsi="Bookman Old Style" w:cs="Arial"/>
          <w:color w:val="333333"/>
          <w:lang w:eastAsia="en-IN"/>
        </w:rPr>
        <w:t xml:space="preserve"> regular service in all Organized </w:t>
      </w:r>
      <w:r w:rsidR="008C0807" w:rsidRPr="00B723F8">
        <w:rPr>
          <w:rFonts w:ascii="Bookman Old Style" w:eastAsia="Times New Roman" w:hAnsi="Bookman Old Style" w:cs="Arial"/>
          <w:color w:val="333333"/>
          <w:lang w:eastAsia="en-IN"/>
        </w:rPr>
        <w:t>Accounts Cadre where Group A status has been implemented except in P&amp;T Accounts where only the implementation is pending even though approval of Minister for Communications has been obtained for grant of Group A Status.</w:t>
      </w:r>
      <w:r w:rsidR="00B723F8" w:rsidRPr="00B723F8">
        <w:rPr>
          <w:rFonts w:ascii="Bookman Old Style" w:eastAsia="Times New Roman" w:hAnsi="Bookman Old Style" w:cs="Arial"/>
          <w:color w:val="333333"/>
          <w:lang w:eastAsia="en-IN"/>
        </w:rPr>
        <w:t xml:space="preserve"> As per DOPT OM No. AB</w:t>
      </w:r>
      <w:r w:rsidR="00B723F8" w:rsidRPr="00B723F8">
        <w:rPr>
          <w:rFonts w:ascii="Bookman Old Style" w:hAnsi="Bookman Old Style"/>
        </w:rPr>
        <w:t>-14017/4/2021-</w:t>
      </w:r>
      <w:proofErr w:type="gramStart"/>
      <w:r w:rsidR="00B723F8" w:rsidRPr="00B723F8">
        <w:rPr>
          <w:rFonts w:ascii="Bookman Old Style" w:hAnsi="Bookman Old Style"/>
        </w:rPr>
        <w:t>Estt.(</w:t>
      </w:r>
      <w:proofErr w:type="gramEnd"/>
      <w:r w:rsidR="00B723F8" w:rsidRPr="00B723F8">
        <w:rPr>
          <w:rFonts w:ascii="Bookman Old Style" w:hAnsi="Bookman Old Style"/>
        </w:rPr>
        <w:t>RR)</w:t>
      </w:r>
      <w:r w:rsidR="00C24373">
        <w:rPr>
          <w:rFonts w:ascii="Bookman Old Style" w:hAnsi="Bookman Old Style"/>
        </w:rPr>
        <w:t xml:space="preserve"> dated 20.09.2022, the minimum qualifying service required for promotion from Pay Level 8 to Pay Level 10 is only 4 Years. </w:t>
      </w:r>
      <w:r w:rsidR="00D85786">
        <w:rPr>
          <w:rFonts w:ascii="Bookman Old Style" w:hAnsi="Bookman Old Style"/>
        </w:rPr>
        <w:t>However, 7 years’ service is pre</w:t>
      </w:r>
      <w:r w:rsidR="009609C1">
        <w:rPr>
          <w:rFonts w:ascii="Bookman Old Style" w:hAnsi="Bookman Old Style"/>
        </w:rPr>
        <w:t>scribed for promotion from AAO @</w:t>
      </w:r>
      <w:r w:rsidR="00D85786">
        <w:rPr>
          <w:rFonts w:ascii="Bookman Old Style" w:hAnsi="Bookman Old Style"/>
        </w:rPr>
        <w:t xml:space="preserve"> Level 8 to Senior AO Level 10</w:t>
      </w:r>
      <w:r w:rsidR="009609C1">
        <w:rPr>
          <w:rFonts w:ascii="Bookman Old Style" w:hAnsi="Bookman Old Style"/>
        </w:rPr>
        <w:t xml:space="preserve"> in revised RR of Sr. AO in CGDA, CAG and CGA Departments</w:t>
      </w:r>
      <w:r w:rsidR="00D85786">
        <w:rPr>
          <w:rFonts w:ascii="Bookman Old Style" w:hAnsi="Bookman Old Style"/>
        </w:rPr>
        <w:t xml:space="preserve">. </w:t>
      </w:r>
      <w:r w:rsidR="00663C3B">
        <w:rPr>
          <w:rFonts w:ascii="Bookman Old Style" w:hAnsi="Bookman Old Style"/>
        </w:rPr>
        <w:t xml:space="preserve">Further, as per the ibid DOPT OM, </w:t>
      </w:r>
      <w:r w:rsidR="004A1FF6">
        <w:rPr>
          <w:rFonts w:ascii="Bookman Old Style" w:hAnsi="Bookman Old Style"/>
        </w:rPr>
        <w:t xml:space="preserve">the minimum qualifying service required for promotion from Pay Level 9 to Pay Level 10 is only 2 Years. </w:t>
      </w:r>
      <w:r w:rsidR="00EC2DE9">
        <w:rPr>
          <w:rFonts w:ascii="Bookman Old Style" w:hAnsi="Bookman Old Style"/>
        </w:rPr>
        <w:t>As</w:t>
      </w:r>
      <w:r w:rsidR="004A1FF6">
        <w:rPr>
          <w:rFonts w:ascii="Bookman Old Style" w:hAnsi="Bookman Old Style"/>
        </w:rPr>
        <w:t xml:space="preserve"> justified in </w:t>
      </w:r>
      <w:r w:rsidR="003026BE">
        <w:rPr>
          <w:rFonts w:ascii="Bookman Old Style" w:hAnsi="Bookman Old Style"/>
        </w:rPr>
        <w:t xml:space="preserve">Para 1.2, the </w:t>
      </w:r>
      <w:r w:rsidR="00767F88">
        <w:rPr>
          <w:rFonts w:ascii="Bookman Old Style" w:hAnsi="Bookman Old Style"/>
        </w:rPr>
        <w:t xml:space="preserve">Pay Level of AAO </w:t>
      </w:r>
      <w:r w:rsidR="00EC2DE9">
        <w:rPr>
          <w:rFonts w:ascii="Bookman Old Style" w:hAnsi="Bookman Old Style"/>
        </w:rPr>
        <w:t xml:space="preserve">should be upgraded </w:t>
      </w:r>
      <w:r w:rsidR="00767F88">
        <w:rPr>
          <w:rFonts w:ascii="Bookman Old Style" w:hAnsi="Bookman Old Style"/>
        </w:rPr>
        <w:t>to Pay Level 9</w:t>
      </w:r>
      <w:r w:rsidR="00EC2DE9">
        <w:rPr>
          <w:rFonts w:ascii="Bookman Old Style" w:hAnsi="Bookman Old Style"/>
        </w:rPr>
        <w:t>. Furthermore,</w:t>
      </w:r>
      <w:r w:rsidR="00767F88">
        <w:rPr>
          <w:rFonts w:ascii="Bookman Old Style" w:hAnsi="Bookman Old Style"/>
        </w:rPr>
        <w:t xml:space="preserve"> promotions from AAO to Senior AO </w:t>
      </w:r>
      <w:r w:rsidR="001E7CA8">
        <w:rPr>
          <w:rFonts w:ascii="Bookman Old Style" w:hAnsi="Bookman Old Style"/>
        </w:rPr>
        <w:t xml:space="preserve">should be granted by reducing the residency period in the AAO Cadre from 7 years to 2 years bringing it in line with the </w:t>
      </w:r>
      <w:r w:rsidR="00767F88">
        <w:rPr>
          <w:rFonts w:ascii="Bookman Old Style" w:hAnsi="Bookman Old Style"/>
        </w:rPr>
        <w:t xml:space="preserve">DOPT OM No. </w:t>
      </w:r>
      <w:r w:rsidR="00767F88" w:rsidRPr="00B723F8">
        <w:rPr>
          <w:rFonts w:ascii="Bookman Old Style" w:eastAsia="Times New Roman" w:hAnsi="Bookman Old Style" w:cs="Arial"/>
          <w:color w:val="333333"/>
          <w:lang w:eastAsia="en-IN"/>
        </w:rPr>
        <w:t>AB</w:t>
      </w:r>
      <w:r w:rsidR="00767F88" w:rsidRPr="00B723F8">
        <w:rPr>
          <w:rFonts w:ascii="Bookman Old Style" w:hAnsi="Bookman Old Style"/>
        </w:rPr>
        <w:t>-14017/4/2021-</w:t>
      </w:r>
      <w:proofErr w:type="gramStart"/>
      <w:r w:rsidR="00767F88" w:rsidRPr="00B723F8">
        <w:rPr>
          <w:rFonts w:ascii="Bookman Old Style" w:hAnsi="Bookman Old Style"/>
        </w:rPr>
        <w:t>Estt.(</w:t>
      </w:r>
      <w:proofErr w:type="gramEnd"/>
      <w:r w:rsidR="00767F88" w:rsidRPr="00B723F8">
        <w:rPr>
          <w:rFonts w:ascii="Bookman Old Style" w:hAnsi="Bookman Old Style"/>
        </w:rPr>
        <w:t>RR)</w:t>
      </w:r>
      <w:r w:rsidR="00767F88">
        <w:rPr>
          <w:rFonts w:ascii="Bookman Old Style" w:hAnsi="Bookman Old Style"/>
        </w:rPr>
        <w:t xml:space="preserve"> dated 20.09.2022</w:t>
      </w:r>
      <w:r w:rsidR="001E7CA8">
        <w:rPr>
          <w:rFonts w:ascii="Bookman Old Style" w:hAnsi="Bookman Old Style"/>
        </w:rPr>
        <w:t>.</w:t>
      </w:r>
    </w:p>
    <w:p w:rsidR="005645B6" w:rsidRDefault="005645B6" w:rsidP="00F65BD9">
      <w:pPr>
        <w:shd w:val="clear" w:color="auto" w:fill="FFFFFF"/>
        <w:spacing w:after="0" w:line="240" w:lineRule="auto"/>
        <w:jc w:val="both"/>
        <w:rPr>
          <w:rFonts w:ascii="Bookman Old Style" w:eastAsia="Times New Roman" w:hAnsi="Bookman Old Style" w:cs="Arial"/>
          <w:color w:val="333333"/>
          <w:lang w:eastAsia="en-IN"/>
        </w:rPr>
      </w:pPr>
    </w:p>
    <w:p w:rsidR="00F65BD9" w:rsidRDefault="00F65BD9" w:rsidP="00F65BD9">
      <w:pPr>
        <w:shd w:val="clear" w:color="auto" w:fill="FFFFFF"/>
        <w:spacing w:after="0" w:line="240" w:lineRule="auto"/>
        <w:jc w:val="both"/>
        <w:rPr>
          <w:rFonts w:ascii="Bookman Old Style" w:eastAsia="Times New Roman" w:hAnsi="Bookman Old Style" w:cs="Arial"/>
          <w:color w:val="333333"/>
          <w:lang w:eastAsia="en-IN"/>
        </w:rPr>
      </w:pPr>
    </w:p>
    <w:p w:rsidR="00C45DB9" w:rsidRPr="00F65BD9" w:rsidRDefault="00F65BD9" w:rsidP="00F65BD9">
      <w:pPr>
        <w:shd w:val="clear" w:color="auto" w:fill="FFFFFF"/>
        <w:spacing w:after="0" w:line="240" w:lineRule="auto"/>
        <w:jc w:val="both"/>
        <w:rPr>
          <w:rFonts w:ascii="Bookman Old Style" w:eastAsia="Times New Roman" w:hAnsi="Bookman Old Style" w:cs="Arial"/>
          <w:b/>
          <w:color w:val="333333"/>
          <w:lang w:eastAsia="en-IN"/>
        </w:rPr>
      </w:pPr>
      <w:r w:rsidRPr="00F65BD9">
        <w:rPr>
          <w:rFonts w:ascii="Bookman Old Style" w:eastAsia="Times New Roman" w:hAnsi="Bookman Old Style" w:cs="Arial"/>
          <w:b/>
          <w:color w:val="333333"/>
          <w:highlight w:val="yellow"/>
          <w:lang w:eastAsia="en-IN"/>
        </w:rPr>
        <w:t xml:space="preserve">9- </w:t>
      </w:r>
      <w:r w:rsidR="00C45DB9" w:rsidRPr="00F65BD9">
        <w:rPr>
          <w:rFonts w:ascii="Bookman Old Style" w:eastAsia="Times New Roman" w:hAnsi="Bookman Old Style" w:cs="Arial"/>
          <w:b/>
          <w:bCs/>
          <w:color w:val="333333"/>
          <w:highlight w:val="yellow"/>
          <w:lang w:eastAsia="en-IN"/>
        </w:rPr>
        <w:t>Retirement Benefits</w:t>
      </w:r>
    </w:p>
    <w:p w:rsidR="00B07446" w:rsidRPr="00C14FD8" w:rsidRDefault="00C45DB9" w:rsidP="00B07446">
      <w:pPr>
        <w:shd w:val="clear" w:color="auto" w:fill="FFFFFF"/>
        <w:spacing w:after="0" w:line="240" w:lineRule="auto"/>
        <w:jc w:val="both"/>
        <w:rPr>
          <w:rFonts w:ascii="Bookman Old Style" w:eastAsia="Times New Roman" w:hAnsi="Bookman Old Style" w:cs="Arial"/>
          <w:b/>
          <w:bCs/>
          <w:color w:val="333333"/>
          <w:sz w:val="32"/>
          <w:lang w:eastAsia="en-IN"/>
        </w:rPr>
      </w:pPr>
      <w:r w:rsidRPr="00736260">
        <w:rPr>
          <w:rFonts w:ascii="Bookman Old Style" w:eastAsia="Times New Roman" w:hAnsi="Bookman Old Style" w:cs="Arial"/>
          <w:b/>
          <w:bCs/>
          <w:color w:val="333333"/>
          <w:highlight w:val="yellow"/>
          <w:lang w:eastAsia="en-IN"/>
        </w:rPr>
        <w:t>Q9. What concerns / views do you face related to Retirement Benefits?</w:t>
      </w:r>
      <w:r w:rsidR="0015671E">
        <w:rPr>
          <w:rFonts w:ascii="Bookman Old Style" w:eastAsia="Times New Roman" w:hAnsi="Bookman Old Style" w:cs="Arial"/>
          <w:b/>
          <w:bCs/>
          <w:color w:val="333333"/>
          <w:lang w:eastAsia="en-IN"/>
        </w:rPr>
        <w:t xml:space="preserve"> </w:t>
      </w:r>
      <w:r w:rsidR="00371400">
        <w:rPr>
          <w:rFonts w:ascii="Bookman Old Style" w:eastAsia="Times New Roman" w:hAnsi="Bookman Old Style" w:cs="Arial"/>
          <w:b/>
          <w:bCs/>
          <w:color w:val="333333"/>
          <w:lang w:eastAsia="en-IN"/>
        </w:rPr>
        <w:t xml:space="preserve"> </w:t>
      </w:r>
      <w:r w:rsidR="005645B6">
        <w:rPr>
          <w:rFonts w:ascii="Bookman Old Style" w:eastAsia="Times New Roman" w:hAnsi="Bookman Old Style" w:cs="Arial"/>
          <w:b/>
          <w:bCs/>
          <w:color w:val="333333"/>
          <w:lang w:eastAsia="en-IN"/>
        </w:rPr>
        <w:t>(5867 Characters)</w:t>
      </w:r>
    </w:p>
    <w:p w:rsidR="00C34A86" w:rsidRPr="00C14FD8" w:rsidRDefault="00C34A86" w:rsidP="00C34A86">
      <w:pPr>
        <w:shd w:val="clear" w:color="auto" w:fill="FFFFFF"/>
        <w:spacing w:after="0" w:line="240" w:lineRule="auto"/>
        <w:jc w:val="both"/>
        <w:rPr>
          <w:rFonts w:ascii="Bookman Old Style" w:eastAsia="Times New Roman" w:hAnsi="Bookman Old Style" w:cs="Arial"/>
          <w:b/>
          <w:bCs/>
          <w:color w:val="333333"/>
          <w:sz w:val="32"/>
          <w:lang w:eastAsia="en-IN"/>
        </w:rPr>
      </w:pPr>
    </w:p>
    <w:p w:rsidR="0001766E" w:rsidRDefault="0001766E" w:rsidP="003130C3">
      <w:pPr>
        <w:pStyle w:val="Default"/>
        <w:ind w:firstLine="720"/>
        <w:jc w:val="both"/>
        <w:rPr>
          <w:b/>
          <w:sz w:val="22"/>
          <w:szCs w:val="22"/>
        </w:rPr>
      </w:pPr>
      <w:r>
        <w:t>Before proceeding for our demands on Pensionary benefits, we wish to state that we are in full agree</w:t>
      </w:r>
      <w:r w:rsidR="00967F76">
        <w:t>ment</w:t>
      </w:r>
      <w:r>
        <w:t xml:space="preserve"> with JCM on the demand for 67% pension of the last pay drawn and the implementation of Civil OROP with 5% quantum increases every 5 years.</w:t>
      </w:r>
    </w:p>
    <w:p w:rsidR="0001766E" w:rsidRPr="00736260" w:rsidRDefault="0001766E" w:rsidP="00E31FD0">
      <w:pPr>
        <w:pStyle w:val="Default"/>
        <w:ind w:left="360"/>
        <w:jc w:val="both"/>
        <w:rPr>
          <w:b/>
          <w:sz w:val="22"/>
          <w:szCs w:val="22"/>
        </w:rPr>
      </w:pPr>
    </w:p>
    <w:p w:rsidR="006970AD" w:rsidRPr="00736260" w:rsidRDefault="006970AD" w:rsidP="00F67E51">
      <w:pPr>
        <w:pStyle w:val="Default"/>
        <w:jc w:val="both"/>
        <w:rPr>
          <w:b/>
          <w:sz w:val="22"/>
          <w:szCs w:val="22"/>
        </w:rPr>
      </w:pPr>
      <w:r w:rsidRPr="00736260">
        <w:rPr>
          <w:b/>
          <w:sz w:val="22"/>
          <w:szCs w:val="22"/>
        </w:rPr>
        <w:t>9.</w:t>
      </w:r>
      <w:r w:rsidR="00236D2E" w:rsidRPr="00736260">
        <w:rPr>
          <w:b/>
          <w:sz w:val="22"/>
          <w:szCs w:val="22"/>
        </w:rPr>
        <w:t>1</w:t>
      </w:r>
      <w:r w:rsidRPr="00736260">
        <w:rPr>
          <w:b/>
          <w:sz w:val="22"/>
          <w:szCs w:val="22"/>
        </w:rPr>
        <w:t xml:space="preserve"> </w:t>
      </w:r>
      <w:r w:rsidR="00702D24" w:rsidRPr="00736260">
        <w:rPr>
          <w:b/>
          <w:sz w:val="22"/>
          <w:szCs w:val="22"/>
        </w:rPr>
        <w:t xml:space="preserve">REQUIREMENT OF </w:t>
      </w:r>
      <w:r w:rsidRPr="00736260">
        <w:rPr>
          <w:b/>
          <w:sz w:val="22"/>
          <w:szCs w:val="22"/>
        </w:rPr>
        <w:t xml:space="preserve">REFORMS IN </w:t>
      </w:r>
      <w:r w:rsidR="00702D24" w:rsidRPr="00736260">
        <w:rPr>
          <w:b/>
          <w:sz w:val="22"/>
          <w:szCs w:val="22"/>
        </w:rPr>
        <w:t xml:space="preserve">CURRENT </w:t>
      </w:r>
      <w:r w:rsidRPr="00736260">
        <w:rPr>
          <w:b/>
          <w:sz w:val="22"/>
          <w:szCs w:val="22"/>
        </w:rPr>
        <w:t>PENSION SYSTEM:</w:t>
      </w:r>
    </w:p>
    <w:p w:rsidR="006970AD" w:rsidRPr="00736260" w:rsidRDefault="006970AD" w:rsidP="00F67E51">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Pension is not a bounty but a deferred wage earned through years of service, and the Hon’ble Supreme Court in </w:t>
      </w:r>
      <w:proofErr w:type="spellStart"/>
      <w:r w:rsidRPr="00736260">
        <w:rPr>
          <w:rFonts w:ascii="Bookman Old Style" w:eastAsia="Times New Roman" w:hAnsi="Bookman Old Style" w:cs="Times New Roman"/>
          <w:lang w:eastAsia="en-IN"/>
        </w:rPr>
        <w:t>Deokinandan</w:t>
      </w:r>
      <w:proofErr w:type="spellEnd"/>
      <w:r w:rsidRPr="00736260">
        <w:rPr>
          <w:rFonts w:ascii="Bookman Old Style" w:eastAsia="Times New Roman" w:hAnsi="Bookman Old Style" w:cs="Times New Roman"/>
          <w:lang w:eastAsia="en-IN"/>
        </w:rPr>
        <w:t xml:space="preserve"> Prasad vs. State of Bihar has affirmed it as a fundamental right and a vital social security measure. In this context, the Association strongly demands full restoration of the Old Pension Scheme (OPS) for all Central Government employees. The shift to the National Pension System (NPS) and later the Unified Pension Scheme (UPS) has introduced uncertainty due to market linkage, whereas OPS ensured a guaranteed defined benefit of 50% of last basic pay with full inflation protection. Restoring OPS is essential to ensure dignity, parity, and financial security for all employees after retirement.</w:t>
      </w:r>
    </w:p>
    <w:p w:rsidR="006970AD" w:rsidRPr="00736260" w:rsidRDefault="006970AD" w:rsidP="00F67E51">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Without prejudice to this primary demand, if the contributory system continues, certain structural reforms are necessary. The Government contribution under NPS sh</w:t>
      </w:r>
      <w:r w:rsidR="00B54D68" w:rsidRPr="00736260">
        <w:rPr>
          <w:rFonts w:ascii="Bookman Old Style" w:eastAsia="Times New Roman" w:hAnsi="Bookman Old Style" w:cs="Times New Roman"/>
          <w:lang w:eastAsia="en-IN"/>
        </w:rPr>
        <w:t>ould be increased from 14% to 18</w:t>
      </w:r>
      <w:r w:rsidRPr="00736260">
        <w:rPr>
          <w:rFonts w:ascii="Bookman Old Style" w:eastAsia="Times New Roman" w:hAnsi="Bookman Old Style" w:cs="Times New Roman"/>
          <w:lang w:eastAsia="en-IN"/>
        </w:rPr>
        <w:t>%, and employees under UPS should be allowed an additional voluntary contribution to strengthen their retirement corpus. The pooled corpus under UPS must be subject to periodic actuarial review, and partial withdrawal limits should be enhanced to 40% for important life needs such as housing and education</w:t>
      </w:r>
      <w:r w:rsidR="00DA6FAA">
        <w:rPr>
          <w:rFonts w:ascii="Bookman Old Style" w:eastAsia="Times New Roman" w:hAnsi="Bookman Old Style" w:cs="Times New Roman"/>
          <w:lang w:eastAsia="en-IN"/>
        </w:rPr>
        <w:t xml:space="preserve"> and the present partial withdrawal restricted to partial withdrawal from Employee Contribution should be extended to Employer Contribution also</w:t>
      </w:r>
      <w:r w:rsidRPr="00736260">
        <w:rPr>
          <w:rFonts w:ascii="Bookman Old Style" w:eastAsia="Times New Roman" w:hAnsi="Bookman Old Style" w:cs="Times New Roman"/>
          <w:lang w:eastAsia="en-IN"/>
        </w:rPr>
        <w:t>. These measures will improve financial adequacy and flexibility for employees.</w:t>
      </w:r>
    </w:p>
    <w:p w:rsidR="006970AD" w:rsidRPr="00736260" w:rsidRDefault="006970AD" w:rsidP="00F67E51">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 xml:space="preserve">Further, the conditions under UPS need rationalization to make them fair and practical. The qualifying service for full pension should be reduced from 25 years to 20 years, with a more equitable pro-rata system for those with shorter service. </w:t>
      </w:r>
      <w:r w:rsidR="008D6364">
        <w:rPr>
          <w:rFonts w:ascii="Bookman Old Style" w:eastAsia="Times New Roman" w:hAnsi="Bookman Old Style" w:cs="Times New Roman"/>
          <w:lang w:eastAsia="en-IN"/>
        </w:rPr>
        <w:t xml:space="preserve">Market linking should be removed. The Government must assure a minimum </w:t>
      </w:r>
      <w:r w:rsidR="008D6364">
        <w:rPr>
          <w:rFonts w:ascii="Bookman Old Style" w:eastAsia="Times New Roman" w:hAnsi="Bookman Old Style" w:cs="Times New Roman"/>
          <w:lang w:eastAsia="en-IN"/>
        </w:rPr>
        <w:lastRenderedPageBreak/>
        <w:t>pension of 50% of the Last Pay Drawn (plus DA) without linking it to the benchmark corpus. The current system ca</w:t>
      </w:r>
      <w:r w:rsidR="00470FFE">
        <w:rPr>
          <w:rFonts w:ascii="Bookman Old Style" w:eastAsia="Times New Roman" w:hAnsi="Bookman Old Style" w:cs="Times New Roman"/>
          <w:lang w:eastAsia="en-IN"/>
        </w:rPr>
        <w:t>uses a proportionate reduction in pension, if the return on benchmark corpus falls below the individual corpus, effectively nullifying the purpose of a pooled fund.</w:t>
      </w:r>
      <w:r w:rsidR="001234F8">
        <w:rPr>
          <w:rFonts w:ascii="Bookman Old Style" w:eastAsia="Times New Roman" w:hAnsi="Bookman Old Style" w:cs="Times New Roman"/>
          <w:lang w:eastAsia="en-IN"/>
        </w:rPr>
        <w:t xml:space="preserve"> </w:t>
      </w:r>
      <w:r w:rsidR="00113418">
        <w:rPr>
          <w:rFonts w:ascii="Bookman Old Style" w:eastAsia="Times New Roman" w:hAnsi="Bookman Old Style" w:cs="Times New Roman"/>
          <w:lang w:eastAsia="en-IN"/>
        </w:rPr>
        <w:t xml:space="preserve">Further Pension at </w:t>
      </w:r>
      <w:r w:rsidR="001234F8">
        <w:rPr>
          <w:rFonts w:ascii="Bookman Old Style" w:eastAsia="Times New Roman" w:hAnsi="Bookman Old Style" w:cs="Times New Roman"/>
          <w:lang w:eastAsia="en-IN"/>
        </w:rPr>
        <w:t xml:space="preserve">50% of Last Pay Drawn should start immediately </w:t>
      </w:r>
      <w:r w:rsidR="00BD6BC0">
        <w:rPr>
          <w:rFonts w:ascii="Bookman Old Style" w:eastAsia="Times New Roman" w:hAnsi="Bookman Old Style" w:cs="Times New Roman"/>
          <w:lang w:eastAsia="en-IN"/>
        </w:rPr>
        <w:t>from the date of</w:t>
      </w:r>
      <w:r w:rsidR="001234F8">
        <w:rPr>
          <w:rFonts w:ascii="Bookman Old Style" w:eastAsia="Times New Roman" w:hAnsi="Bookman Old Style" w:cs="Times New Roman"/>
          <w:lang w:eastAsia="en-IN"/>
        </w:rPr>
        <w:t xml:space="preserve"> Voluntary Retirement</w:t>
      </w:r>
      <w:r w:rsidR="00BD6BC0">
        <w:rPr>
          <w:rFonts w:ascii="Bookman Old Style" w:eastAsia="Times New Roman" w:hAnsi="Bookman Old Style" w:cs="Times New Roman"/>
          <w:lang w:eastAsia="en-IN"/>
        </w:rPr>
        <w:t xml:space="preserve"> </w:t>
      </w:r>
      <w:r w:rsidR="00CE2C23">
        <w:rPr>
          <w:rFonts w:ascii="Bookman Old Style" w:eastAsia="Times New Roman" w:hAnsi="Bookman Old Style" w:cs="Times New Roman"/>
          <w:lang w:eastAsia="en-IN"/>
        </w:rPr>
        <w:t>ensuring right to life of pensioner</w:t>
      </w:r>
      <w:r w:rsidR="001234F8">
        <w:rPr>
          <w:rFonts w:ascii="Bookman Old Style" w:eastAsia="Times New Roman" w:hAnsi="Bookman Old Style" w:cs="Times New Roman"/>
          <w:lang w:eastAsia="en-IN"/>
        </w:rPr>
        <w:t>.</w:t>
      </w:r>
    </w:p>
    <w:p w:rsidR="00CA57B0" w:rsidRDefault="006970AD" w:rsidP="00CA57B0">
      <w:pPr>
        <w:spacing w:after="0" w:line="240" w:lineRule="auto"/>
        <w:ind w:firstLine="720"/>
        <w:jc w:val="both"/>
        <w:rPr>
          <w:rFonts w:ascii="Bookman Old Style" w:eastAsia="Times New Roman" w:hAnsi="Bookman Old Style" w:cs="Times New Roman"/>
          <w:lang w:eastAsia="en-IN"/>
        </w:rPr>
      </w:pPr>
      <w:r w:rsidRPr="00736260">
        <w:rPr>
          <w:rFonts w:ascii="Bookman Old Style" w:eastAsia="Times New Roman" w:hAnsi="Bookman Old Style" w:cs="Times New Roman"/>
          <w:lang w:eastAsia="en-IN"/>
        </w:rPr>
        <w:t>Finally, a strong sovereign guarantee must back all pension commitments to ensure that retirement security is not dependent on market performance. Employees who retired under NPS before the introduction of UPS should be granted arrears if they opt for the new system. Overall, the 8th CPC has an opportunity to correct the existing social security gap and ensure that no government employee faces financial uncertainty after retirement.</w:t>
      </w:r>
    </w:p>
    <w:p w:rsidR="00CA57B0" w:rsidRDefault="00CA57B0" w:rsidP="00CA57B0">
      <w:pPr>
        <w:spacing w:after="0" w:line="240" w:lineRule="auto"/>
        <w:jc w:val="both"/>
        <w:rPr>
          <w:rFonts w:ascii="Bookman Old Style" w:eastAsia="Times New Roman" w:hAnsi="Bookman Old Style" w:cs="Times New Roman"/>
          <w:lang w:eastAsia="en-IN"/>
        </w:rPr>
      </w:pPr>
    </w:p>
    <w:p w:rsidR="00CA57B0" w:rsidRDefault="00CA57B0" w:rsidP="00CA57B0">
      <w:pPr>
        <w:spacing w:after="0" w:line="240" w:lineRule="auto"/>
        <w:jc w:val="both"/>
        <w:rPr>
          <w:rFonts w:ascii="Bookman Old Style" w:eastAsia="Times New Roman" w:hAnsi="Bookman Old Style" w:cs="Times New Roman"/>
          <w:lang w:eastAsia="en-IN"/>
        </w:rPr>
      </w:pPr>
    </w:p>
    <w:p w:rsidR="00CA57B0" w:rsidRDefault="00CA57B0" w:rsidP="00CA57B0">
      <w:pPr>
        <w:spacing w:after="0" w:line="240" w:lineRule="auto"/>
        <w:jc w:val="both"/>
        <w:rPr>
          <w:rFonts w:ascii="Bookman Old Style" w:eastAsia="Times New Roman" w:hAnsi="Bookman Old Style" w:cs="Times New Roman"/>
          <w:lang w:eastAsia="en-IN"/>
        </w:rPr>
      </w:pPr>
    </w:p>
    <w:p w:rsidR="00F553D1" w:rsidRPr="00CA57B0" w:rsidRDefault="00F553D1" w:rsidP="00CA57B0">
      <w:pPr>
        <w:spacing w:after="0" w:line="240" w:lineRule="auto"/>
        <w:jc w:val="both"/>
        <w:rPr>
          <w:rFonts w:ascii="Bookman Old Style" w:eastAsia="Times New Roman" w:hAnsi="Bookman Old Style" w:cs="Times New Roman"/>
          <w:b/>
          <w:lang w:eastAsia="en-IN"/>
        </w:rPr>
      </w:pPr>
      <w:r w:rsidRPr="00CA57B0">
        <w:rPr>
          <w:rFonts w:ascii="Bookman Old Style" w:hAnsi="Bookman Old Style"/>
          <w:b/>
        </w:rPr>
        <w:t>9.2 APPLICABILITY OF GPF OR INTRODUCTION OF A DEDICATED FUND SCHEME FOR NPS/UPS EMPLOYEES</w:t>
      </w:r>
    </w:p>
    <w:p w:rsidR="00F553D1" w:rsidRPr="00C53799" w:rsidRDefault="00C53799" w:rsidP="00F553D1">
      <w:pPr>
        <w:spacing w:after="0" w:line="240" w:lineRule="auto"/>
        <w:ind w:firstLine="720"/>
        <w:jc w:val="both"/>
        <w:rPr>
          <w:rFonts w:ascii="Bookman Old Style" w:eastAsia="Times New Roman" w:hAnsi="Bookman Old Style" w:cs="Times New Roman"/>
          <w:lang w:eastAsia="en-IN"/>
        </w:rPr>
      </w:pPr>
      <w:r w:rsidRPr="00C53799">
        <w:rPr>
          <w:rFonts w:ascii="Bookman Old Style" w:hAnsi="Bookman Old Style"/>
        </w:rPr>
        <w:t>The introduction of the National Pension System (NPS) and the Unified Pension Scheme (UPS) has significantly altered the retirement landscape for government employees. A glaring omission in these frameworks is the absence of a reliable, government-backed savings mechanism akin to the General Provident Fund (GPF). The GPF has traditionally served as a crucial financial safety net, allowing employees to save systematically for major life events and unforeseen medical emergencies. Currently, NPS and UPS employees are deprived of this zero-risk, interest-bearing sanctuary, as market-linked Tier-II accounts do not offer the guaranteed security that government servants require. Therefore, we strongly demand that the GPF scheme be extended to all employees covered under NPS and UPS, or a dedicated, risk-free statutory Provident Fund scheme be instituted exclusively for them. Furthermore, the current ceiling on partial withdrawals under the NPS is overly restrictive and must be substantially relaxed to allow employees meaningful access to their own accumulated funds during life emergencies. In tandem with this, the administrative withdrawal provisions within the existing GPF framework must be made significantly smoother, faster, and free from unnecessary bureaucratic hurdles. Implementing these comprehensive measures will ensure equitable social security and vital financial flexibility for all classes of government employees.</w:t>
      </w:r>
    </w:p>
    <w:p w:rsidR="00F553D1" w:rsidRPr="00F553D1" w:rsidRDefault="00F553D1" w:rsidP="00F553D1">
      <w:pPr>
        <w:spacing w:after="0" w:line="240" w:lineRule="auto"/>
        <w:ind w:firstLine="720"/>
        <w:jc w:val="both"/>
        <w:rPr>
          <w:rFonts w:ascii="Bookman Old Style" w:eastAsia="Times New Roman" w:hAnsi="Bookman Old Style" w:cs="Times New Roman"/>
          <w:lang w:eastAsia="en-IN"/>
        </w:rPr>
      </w:pPr>
    </w:p>
    <w:p w:rsidR="00F553D1" w:rsidRPr="00F553D1" w:rsidRDefault="00F553D1" w:rsidP="00F553D1">
      <w:pPr>
        <w:spacing w:after="0" w:line="240" w:lineRule="auto"/>
        <w:ind w:firstLine="720"/>
        <w:jc w:val="both"/>
        <w:rPr>
          <w:rFonts w:ascii="Bookman Old Style" w:eastAsia="Times New Roman" w:hAnsi="Bookman Old Style" w:cs="Times New Roman"/>
          <w:lang w:eastAsia="en-IN"/>
        </w:rPr>
      </w:pPr>
    </w:p>
    <w:p w:rsidR="00730627" w:rsidRPr="00736260" w:rsidRDefault="00730627" w:rsidP="00730627">
      <w:pPr>
        <w:spacing w:after="0" w:line="240" w:lineRule="auto"/>
        <w:jc w:val="both"/>
        <w:rPr>
          <w:rFonts w:ascii="Bookman Old Style" w:eastAsia="Times New Roman" w:hAnsi="Bookman Old Style" w:cs="Times New Roman"/>
          <w:b/>
          <w:lang w:eastAsia="en-IN"/>
        </w:rPr>
      </w:pPr>
      <w:r w:rsidRPr="00736260">
        <w:rPr>
          <w:rFonts w:ascii="Bookman Old Style" w:eastAsia="Times New Roman" w:hAnsi="Bookman Old Style" w:cs="Times New Roman"/>
          <w:b/>
          <w:lang w:eastAsia="en-IN"/>
        </w:rPr>
        <w:t>9.</w:t>
      </w:r>
      <w:r w:rsidR="00C53799">
        <w:rPr>
          <w:rFonts w:ascii="Bookman Old Style" w:eastAsia="Times New Roman" w:hAnsi="Bookman Old Style" w:cs="Times New Roman"/>
          <w:b/>
          <w:lang w:eastAsia="en-IN"/>
        </w:rPr>
        <w:t>3</w:t>
      </w:r>
      <w:r w:rsidRPr="00736260">
        <w:rPr>
          <w:rFonts w:ascii="Bookman Old Style" w:eastAsia="Times New Roman" w:hAnsi="Bookman Old Style" w:cs="Times New Roman"/>
          <w:b/>
          <w:lang w:eastAsia="en-IN"/>
        </w:rPr>
        <w:t xml:space="preserve"> </w:t>
      </w:r>
      <w:r w:rsidRPr="00736260">
        <w:rPr>
          <w:rFonts w:ascii="Bookman Old Style" w:hAnsi="Bookman Old Style"/>
          <w:b/>
        </w:rPr>
        <w:t>COMMUTATION OF PENSION (11 YEARS) &amp; REVISION OF COMMUTATION FACTOR:</w:t>
      </w:r>
    </w:p>
    <w:p w:rsidR="00730627" w:rsidRPr="00736260" w:rsidRDefault="004D58BC" w:rsidP="00364DBE">
      <w:pPr>
        <w:spacing w:after="0" w:line="240" w:lineRule="auto"/>
        <w:ind w:firstLine="720"/>
        <w:jc w:val="both"/>
        <w:rPr>
          <w:rFonts w:ascii="Bookman Old Style" w:eastAsia="Times New Roman" w:hAnsi="Bookman Old Style" w:cs="Times New Roman"/>
          <w:lang w:eastAsia="en-IN"/>
        </w:rPr>
      </w:pPr>
      <w:r w:rsidRPr="00736260">
        <w:rPr>
          <w:rFonts w:ascii="Bookman Old Style" w:hAnsi="Bookman Old Style"/>
        </w:rPr>
        <w:t xml:space="preserve">Under the current CCS (Commutation of Pension) Rules, 1981, the restoration of the commuted portion of an employee's pension occurs only after a lengthy 15 years. This 15-year recovery period is highly excessive and mathematically unjustified, as the Government typically recovers the commuted amount along with interest much earlier, usually within 10 to 11 years. Continuing to deduct the commuted amount for a full 15 years results in a harsh and unfair financial penalty on aging pensioners during their most vulnerable years. Furthermore, the Commutation Factor Table currently in use has not been updated or revised since 2008. This severely outdated factor fails entirely to account for current interest rates, improved life expectancy, and modern actuarial realities. As a direct result, retiring employees face an estimated 16.8% financial loss upon commuting their pension. Therefore, we firmly demand that the commuted portion of the pension be fully restored after 11 years instead of the existing 15 years. Alongside this, it is absolutely imperative that the Commutation Table and the Commutation Factor be immediately revised to reflect current economic indices. These dual measures will ensure </w:t>
      </w:r>
      <w:r w:rsidRPr="00736260">
        <w:rPr>
          <w:rFonts w:ascii="Bookman Old Style" w:hAnsi="Bookman Old Style"/>
        </w:rPr>
        <w:lastRenderedPageBreak/>
        <w:t>pensioners receive their rightful financial dues without facing unjustified, lifelong monetary deductions.</w:t>
      </w:r>
    </w:p>
    <w:p w:rsidR="00730627" w:rsidRDefault="00730627" w:rsidP="00364DBE">
      <w:pPr>
        <w:spacing w:after="0" w:line="240" w:lineRule="auto"/>
        <w:ind w:firstLine="720"/>
        <w:jc w:val="both"/>
        <w:rPr>
          <w:rFonts w:ascii="Bookman Old Style" w:eastAsia="Times New Roman" w:hAnsi="Bookman Old Style" w:cs="Times New Roman"/>
          <w:lang w:eastAsia="en-IN"/>
        </w:rPr>
      </w:pPr>
    </w:p>
    <w:p w:rsidR="00576E9E" w:rsidRDefault="00576E9E" w:rsidP="00364DBE">
      <w:pPr>
        <w:spacing w:after="0" w:line="240" w:lineRule="auto"/>
        <w:ind w:firstLine="720"/>
        <w:jc w:val="both"/>
        <w:rPr>
          <w:rFonts w:ascii="Bookman Old Style" w:eastAsia="Times New Roman" w:hAnsi="Bookman Old Style" w:cs="Times New Roman"/>
          <w:lang w:eastAsia="en-IN"/>
        </w:rPr>
      </w:pPr>
    </w:p>
    <w:p w:rsidR="00576E9E" w:rsidRDefault="00576E9E" w:rsidP="00364DBE">
      <w:pPr>
        <w:spacing w:after="0" w:line="240" w:lineRule="auto"/>
        <w:ind w:firstLine="720"/>
        <w:jc w:val="both"/>
        <w:rPr>
          <w:rFonts w:ascii="Bookman Old Style" w:eastAsia="Times New Roman" w:hAnsi="Bookman Old Style" w:cs="Times New Roman"/>
          <w:lang w:eastAsia="en-IN"/>
        </w:rPr>
      </w:pPr>
    </w:p>
    <w:p w:rsidR="00576E9E" w:rsidRDefault="00576E9E" w:rsidP="00364DBE">
      <w:pPr>
        <w:spacing w:after="0" w:line="240" w:lineRule="auto"/>
        <w:ind w:firstLine="720"/>
        <w:jc w:val="both"/>
        <w:rPr>
          <w:rFonts w:ascii="Bookman Old Style" w:eastAsia="Times New Roman" w:hAnsi="Bookman Old Style" w:cs="Times New Roman"/>
          <w:lang w:eastAsia="en-IN"/>
        </w:rPr>
      </w:pPr>
    </w:p>
    <w:p w:rsidR="00576E9E" w:rsidRPr="00736260" w:rsidRDefault="00576E9E" w:rsidP="00364DBE">
      <w:pPr>
        <w:spacing w:after="0" w:line="240" w:lineRule="auto"/>
        <w:ind w:firstLine="720"/>
        <w:jc w:val="both"/>
        <w:rPr>
          <w:rFonts w:ascii="Bookman Old Style" w:eastAsia="Times New Roman" w:hAnsi="Bookman Old Style" w:cs="Times New Roman"/>
          <w:lang w:eastAsia="en-IN"/>
        </w:rPr>
      </w:pPr>
      <w:bookmarkStart w:id="0" w:name="_GoBack"/>
      <w:bookmarkEnd w:id="0"/>
    </w:p>
    <w:p w:rsidR="006810E9" w:rsidRPr="00736260" w:rsidRDefault="006810E9" w:rsidP="00364DBE">
      <w:pPr>
        <w:spacing w:after="0" w:line="240" w:lineRule="auto"/>
        <w:ind w:firstLine="720"/>
        <w:jc w:val="both"/>
        <w:rPr>
          <w:rFonts w:ascii="Bookman Old Style" w:eastAsia="Times New Roman" w:hAnsi="Bookman Old Style" w:cs="Times New Roman"/>
          <w:lang w:eastAsia="en-IN"/>
        </w:rPr>
      </w:pPr>
    </w:p>
    <w:p w:rsidR="00240463" w:rsidRPr="00736260" w:rsidRDefault="00240463" w:rsidP="00E31FD0">
      <w:pPr>
        <w:pStyle w:val="Default"/>
        <w:ind w:left="360"/>
        <w:jc w:val="both"/>
        <w:rPr>
          <w:b/>
          <w:sz w:val="22"/>
          <w:szCs w:val="22"/>
        </w:rPr>
      </w:pPr>
    </w:p>
    <w:p w:rsidR="00560126" w:rsidRPr="00736260" w:rsidRDefault="00CA200F" w:rsidP="00E31FD0">
      <w:pPr>
        <w:pStyle w:val="Default"/>
        <w:ind w:left="360"/>
        <w:jc w:val="both"/>
        <w:rPr>
          <w:b/>
          <w:sz w:val="22"/>
          <w:szCs w:val="22"/>
        </w:rPr>
      </w:pP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t>/M. SUDHAKAR/</w:t>
      </w:r>
    </w:p>
    <w:p w:rsidR="00CA200F" w:rsidRPr="00736260" w:rsidRDefault="00CA200F" w:rsidP="00E31FD0">
      <w:pPr>
        <w:pStyle w:val="Default"/>
        <w:ind w:left="360"/>
        <w:jc w:val="both"/>
        <w:rPr>
          <w:b/>
          <w:sz w:val="22"/>
          <w:szCs w:val="22"/>
        </w:rPr>
      </w:pP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r>
      <w:r w:rsidRPr="00736260">
        <w:rPr>
          <w:b/>
          <w:sz w:val="22"/>
          <w:szCs w:val="22"/>
        </w:rPr>
        <w:tab/>
        <w:t>GENERAL SECRETARY</w:t>
      </w:r>
    </w:p>
    <w:tbl>
      <w:tblPr>
        <w:tblStyle w:val="TableGrid"/>
        <w:tblpPr w:leftFromText="180" w:rightFromText="180" w:vertAnchor="page" w:horzAnchor="margin" w:tblpXSpec="center" w:tblpY="1581"/>
        <w:tblW w:w="10344" w:type="dxa"/>
        <w:tblLayout w:type="fixed"/>
        <w:tblLook w:val="04A0" w:firstRow="1" w:lastRow="0" w:firstColumn="1" w:lastColumn="0" w:noHBand="0" w:noVBand="1"/>
      </w:tblPr>
      <w:tblGrid>
        <w:gridCol w:w="3397"/>
        <w:gridCol w:w="3402"/>
        <w:gridCol w:w="3545"/>
      </w:tblGrid>
      <w:tr w:rsidR="000B5F03" w:rsidRPr="00736260" w:rsidTr="000B5F03">
        <w:tc>
          <w:tcPr>
            <w:tcW w:w="10344" w:type="dxa"/>
            <w:gridSpan w:val="3"/>
          </w:tcPr>
          <w:p w:rsidR="000B5F03" w:rsidRPr="00736260" w:rsidRDefault="000B5F03" w:rsidP="000B5F03">
            <w:pPr>
              <w:jc w:val="center"/>
              <w:rPr>
                <w:rFonts w:ascii="Bookman Old Style" w:hAnsi="Bookman Old Style" w:cs="Times New Roman"/>
                <w:b/>
                <w:bCs/>
                <w:sz w:val="24"/>
                <w:szCs w:val="24"/>
              </w:rPr>
            </w:pPr>
            <w:r w:rsidRPr="00736260">
              <w:rPr>
                <w:rFonts w:ascii="Bookman Old Style" w:hAnsi="Bookman Old Style" w:cs="Times New Roman"/>
                <w:b/>
                <w:bCs/>
                <w:sz w:val="24"/>
                <w:szCs w:val="24"/>
              </w:rPr>
              <w:lastRenderedPageBreak/>
              <w:t xml:space="preserve">ANNEXURE I </w:t>
            </w:r>
            <w:r>
              <w:rPr>
                <w:rFonts w:ascii="Bookman Old Style" w:hAnsi="Bookman Old Style" w:cs="Times New Roman"/>
                <w:b/>
                <w:bCs/>
                <w:sz w:val="24"/>
                <w:szCs w:val="24"/>
              </w:rPr>
              <w:t xml:space="preserve">to Para 1.4 </w:t>
            </w:r>
            <w:r w:rsidRPr="00736260">
              <w:rPr>
                <w:rFonts w:ascii="Bookman Old Style" w:hAnsi="Bookman Old Style" w:cs="Times New Roman"/>
                <w:b/>
                <w:bCs/>
                <w:sz w:val="24"/>
                <w:szCs w:val="24"/>
              </w:rPr>
              <w:t>– RULE 10 ANOMALY</w:t>
            </w:r>
          </w:p>
        </w:tc>
      </w:tr>
      <w:tr w:rsidR="000B5F03" w:rsidRPr="00736260" w:rsidTr="000B5F03">
        <w:tc>
          <w:tcPr>
            <w:tcW w:w="3397" w:type="dxa"/>
          </w:tcPr>
          <w:p w:rsidR="000B5F03" w:rsidRPr="00736260" w:rsidRDefault="000B5F03" w:rsidP="000B5F03">
            <w:pPr>
              <w:rPr>
                <w:rFonts w:ascii="Bookman Old Style" w:hAnsi="Bookman Old Style" w:cs="Times New Roman"/>
                <w:b/>
                <w:bCs/>
                <w:sz w:val="24"/>
                <w:szCs w:val="24"/>
              </w:rPr>
            </w:pPr>
            <w:r w:rsidRPr="00736260">
              <w:rPr>
                <w:rFonts w:ascii="Bookman Old Style" w:hAnsi="Bookman Old Style" w:cs="Times New Roman"/>
                <w:b/>
                <w:bCs/>
                <w:sz w:val="24"/>
                <w:szCs w:val="24"/>
              </w:rPr>
              <w:t xml:space="preserve">Service Particulars of </w:t>
            </w:r>
          </w:p>
        </w:tc>
        <w:tc>
          <w:tcPr>
            <w:tcW w:w="3402" w:type="dxa"/>
          </w:tcPr>
          <w:p w:rsidR="000B5F03" w:rsidRPr="00736260" w:rsidRDefault="000B5F03" w:rsidP="000B5F03">
            <w:pPr>
              <w:jc w:val="center"/>
              <w:rPr>
                <w:rFonts w:ascii="Bookman Old Style" w:hAnsi="Bookman Old Style" w:cs="Times New Roman"/>
                <w:b/>
                <w:bCs/>
                <w:sz w:val="24"/>
                <w:szCs w:val="24"/>
              </w:rPr>
            </w:pPr>
            <w:r w:rsidRPr="00736260">
              <w:rPr>
                <w:rFonts w:ascii="Bookman Old Style" w:hAnsi="Bookman Old Style" w:cs="Times New Roman"/>
                <w:b/>
                <w:bCs/>
                <w:sz w:val="24"/>
                <w:szCs w:val="24"/>
              </w:rPr>
              <w:t>EMP- 01</w:t>
            </w:r>
          </w:p>
        </w:tc>
        <w:tc>
          <w:tcPr>
            <w:tcW w:w="3545" w:type="dxa"/>
          </w:tcPr>
          <w:p w:rsidR="000B5F03" w:rsidRPr="00736260" w:rsidRDefault="000B5F03" w:rsidP="000B5F03">
            <w:pPr>
              <w:jc w:val="center"/>
              <w:rPr>
                <w:rFonts w:ascii="Bookman Old Style" w:hAnsi="Bookman Old Style" w:cs="Times New Roman"/>
                <w:b/>
                <w:bCs/>
                <w:sz w:val="24"/>
                <w:szCs w:val="24"/>
              </w:rPr>
            </w:pPr>
            <w:r w:rsidRPr="00736260">
              <w:rPr>
                <w:rFonts w:ascii="Bookman Old Style" w:hAnsi="Bookman Old Style" w:cs="Times New Roman"/>
                <w:b/>
                <w:bCs/>
                <w:sz w:val="24"/>
                <w:szCs w:val="24"/>
              </w:rPr>
              <w:t xml:space="preserve">EMP-2 </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Date of Joining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10.04.2007</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13.01.2009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Level in PA Cadre</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Level- 4</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Level- 4</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MACP-I detail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10.04.2017 (level-5)</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MACP not granted</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DNI of the official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Jan-2018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Jul-2018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Total length of service as on 01.04.2018</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 xml:space="preserve">10Y 11 Mon </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9Y 2 Mon</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Eligibility for AAO Exam-2018</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Yes</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Yes</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Service eligibility claim (maximum 2 Year)</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No</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No</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Date of Joining in AAO Cadre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08.10.2018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08.10.2018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Basic Pay of PA Cadre before joining to AAO Cadre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Rs.38100/-</w:t>
            </w:r>
          </w:p>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(Level-5)</w:t>
            </w:r>
          </w:p>
          <w:p w:rsidR="000B5F03" w:rsidRPr="00736260" w:rsidRDefault="000B5F03" w:rsidP="000B5F03">
            <w:pPr>
              <w:jc w:val="center"/>
              <w:rPr>
                <w:rFonts w:ascii="Bookman Old Style" w:hAnsi="Bookman Old Style" w:cs="Times New Roman"/>
                <w:sz w:val="24"/>
                <w:szCs w:val="24"/>
              </w:rPr>
            </w:pP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Rs.35300/-</w:t>
            </w:r>
          </w:p>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(Level-4)</w:t>
            </w:r>
          </w:p>
          <w:p w:rsidR="000B5F03" w:rsidRPr="00736260" w:rsidRDefault="000B5F03" w:rsidP="000B5F03">
            <w:pPr>
              <w:jc w:val="center"/>
              <w:rPr>
                <w:rFonts w:ascii="Bookman Old Style" w:hAnsi="Bookman Old Style" w:cs="Times New Roman"/>
                <w:sz w:val="24"/>
                <w:szCs w:val="24"/>
              </w:rPr>
            </w:pP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Initial Pay in AAO on Oct-2018</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47600 (Level-8)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47600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Jan-2019</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47600 (Level-8)</w:t>
            </w:r>
          </w:p>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(Increment not given)</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47600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July-2019</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47600 (Level-8)</w:t>
            </w:r>
          </w:p>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(Increment not given)</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49000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Jan-2020</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49000 (Level-8)</w:t>
            </w:r>
          </w:p>
          <w:p w:rsidR="000B5F03" w:rsidRPr="00736260" w:rsidRDefault="000B5F03" w:rsidP="000B5F03">
            <w:pPr>
              <w:jc w:val="center"/>
              <w:rPr>
                <w:rFonts w:ascii="Bookman Old Style" w:hAnsi="Bookman Old Style" w:cs="Times New Roman"/>
                <w:b/>
                <w:bCs/>
                <w:sz w:val="24"/>
                <w:szCs w:val="24"/>
              </w:rPr>
            </w:pPr>
            <w:r w:rsidRPr="00736260">
              <w:rPr>
                <w:rFonts w:ascii="Bookman Old Style" w:hAnsi="Bookman Old Style" w:cs="Times New Roman"/>
                <w:b/>
                <w:bCs/>
                <w:sz w:val="24"/>
                <w:szCs w:val="24"/>
              </w:rPr>
              <w:t>(in view of Rule-10 clarification- on change of DNI )</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49000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July-2020</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49000 (Level-8)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50500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Jan-2021</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50500 (Level-8)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50500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July-2021</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50500 (Level-8)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52000 (Level-8)</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AAO on Jan-2022</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52000 (Level-8)</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52000 (Level-8)</w:t>
            </w:r>
          </w:p>
        </w:tc>
      </w:tr>
      <w:tr w:rsidR="000B5F03" w:rsidRPr="00736260" w:rsidTr="000B5F03">
        <w:tc>
          <w:tcPr>
            <w:tcW w:w="3397" w:type="dxa"/>
          </w:tcPr>
          <w:p w:rsidR="000B5F03" w:rsidRPr="00736260" w:rsidRDefault="000B5F03" w:rsidP="000B5F03">
            <w:pPr>
              <w:rPr>
                <w:rFonts w:ascii="Bookman Old Style" w:hAnsi="Bookman Old Style" w:cs="Times New Roman"/>
                <w:b/>
                <w:bCs/>
                <w:sz w:val="24"/>
                <w:szCs w:val="24"/>
              </w:rPr>
            </w:pPr>
            <w:r w:rsidRPr="00736260">
              <w:rPr>
                <w:rFonts w:ascii="Bookman Old Style" w:hAnsi="Bookman Old Style" w:cs="Times New Roman"/>
                <w:b/>
                <w:bCs/>
                <w:sz w:val="24"/>
                <w:szCs w:val="24"/>
              </w:rPr>
              <w:t xml:space="preserve">Regular AO Promotion </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 xml:space="preserve">AO </w:t>
            </w:r>
            <w:proofErr w:type="spellStart"/>
            <w:r w:rsidRPr="00736260">
              <w:rPr>
                <w:rFonts w:ascii="Bookman Old Style" w:hAnsi="Bookman Old Style" w:cs="Times New Roman"/>
                <w:sz w:val="24"/>
                <w:szCs w:val="24"/>
              </w:rPr>
              <w:t>w.e.f</w:t>
            </w:r>
            <w:proofErr w:type="spellEnd"/>
            <w:r w:rsidRPr="00736260">
              <w:rPr>
                <w:rFonts w:ascii="Bookman Old Style" w:hAnsi="Bookman Old Style" w:cs="Times New Roman"/>
                <w:sz w:val="24"/>
                <w:szCs w:val="24"/>
              </w:rPr>
              <w:t xml:space="preserve"> 20.05.2022 &amp; Opt Pay fixation from DNI</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 xml:space="preserve">AO </w:t>
            </w:r>
            <w:proofErr w:type="spellStart"/>
            <w:r w:rsidRPr="00736260">
              <w:rPr>
                <w:rFonts w:ascii="Bookman Old Style" w:hAnsi="Bookman Old Style" w:cs="Times New Roman"/>
                <w:sz w:val="24"/>
                <w:szCs w:val="24"/>
              </w:rPr>
              <w:t>w.e.f</w:t>
            </w:r>
            <w:proofErr w:type="spellEnd"/>
            <w:r w:rsidRPr="00736260">
              <w:rPr>
                <w:rFonts w:ascii="Bookman Old Style" w:hAnsi="Bookman Old Style" w:cs="Times New Roman"/>
                <w:sz w:val="24"/>
                <w:szCs w:val="24"/>
              </w:rPr>
              <w:t xml:space="preserve"> 23.05.2022 &amp; Opt Pay fixation from DNI</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cadre</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53100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53100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on Jul-2022</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53100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56300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on Jan-2023</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56300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58000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on Jul-2023</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58000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58000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on Jan-2024</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58000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59700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AO on Jul-2024</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59700 (Level-9)</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59700 (Level-9)</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b/>
                <w:bCs/>
                <w:sz w:val="24"/>
                <w:szCs w:val="24"/>
              </w:rPr>
              <w:t>Regular SR. AO Promotion</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 xml:space="preserve">SR. AO </w:t>
            </w:r>
            <w:proofErr w:type="spellStart"/>
            <w:r w:rsidRPr="00736260">
              <w:rPr>
                <w:rFonts w:ascii="Bookman Old Style" w:hAnsi="Bookman Old Style" w:cs="Times New Roman"/>
                <w:sz w:val="24"/>
                <w:szCs w:val="24"/>
              </w:rPr>
              <w:t>w.e.f</w:t>
            </w:r>
            <w:proofErr w:type="spellEnd"/>
            <w:r w:rsidRPr="00736260">
              <w:rPr>
                <w:rFonts w:ascii="Bookman Old Style" w:hAnsi="Bookman Old Style" w:cs="Times New Roman"/>
                <w:sz w:val="24"/>
                <w:szCs w:val="24"/>
              </w:rPr>
              <w:t xml:space="preserve"> 01.01.2025 &amp; Opt Pay fixation from DNI</w:t>
            </w:r>
          </w:p>
        </w:tc>
        <w:tc>
          <w:tcPr>
            <w:tcW w:w="3545" w:type="dxa"/>
          </w:tcPr>
          <w:p w:rsidR="000B5F03" w:rsidRPr="00736260" w:rsidRDefault="000B5F03" w:rsidP="000B5F03">
            <w:pPr>
              <w:jc w:val="center"/>
              <w:rPr>
                <w:rFonts w:ascii="Bookman Old Style" w:hAnsi="Bookman Old Style" w:cs="Times New Roman"/>
                <w:sz w:val="24"/>
                <w:szCs w:val="24"/>
              </w:rPr>
            </w:pP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Sr. AO 01.01.2025</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61300 (Level-10)</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65000 (Level-10)</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Pay in Sr. AO on Jul-2025</w:t>
            </w:r>
          </w:p>
        </w:tc>
        <w:tc>
          <w:tcPr>
            <w:tcW w:w="3402"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65000 (Level-10)</w:t>
            </w:r>
          </w:p>
        </w:tc>
        <w:tc>
          <w:tcPr>
            <w:tcW w:w="3545" w:type="dxa"/>
          </w:tcPr>
          <w:p w:rsidR="000B5F03" w:rsidRPr="00736260" w:rsidRDefault="000B5F03" w:rsidP="000B5F03">
            <w:pPr>
              <w:jc w:val="center"/>
              <w:rPr>
                <w:rFonts w:ascii="Bookman Old Style" w:hAnsi="Bookman Old Style" w:cs="Times New Roman"/>
                <w:sz w:val="24"/>
                <w:szCs w:val="24"/>
              </w:rPr>
            </w:pPr>
            <w:r w:rsidRPr="00736260">
              <w:rPr>
                <w:rFonts w:ascii="Bookman Old Style" w:hAnsi="Bookman Old Style" w:cs="Times New Roman"/>
                <w:sz w:val="24"/>
                <w:szCs w:val="24"/>
              </w:rPr>
              <w:t>67000 (Level-10)</w:t>
            </w:r>
          </w:p>
        </w:tc>
      </w:tr>
      <w:tr w:rsidR="000B5F03" w:rsidRPr="00736260" w:rsidTr="000B5F03">
        <w:tc>
          <w:tcPr>
            <w:tcW w:w="3397" w:type="dxa"/>
          </w:tcPr>
          <w:p w:rsidR="000B5F03" w:rsidRPr="00736260" w:rsidRDefault="000B5F03" w:rsidP="000B5F03">
            <w:pPr>
              <w:rPr>
                <w:rFonts w:ascii="Bookman Old Style" w:hAnsi="Bookman Old Style" w:cs="Times New Roman"/>
                <w:sz w:val="24"/>
                <w:szCs w:val="24"/>
              </w:rPr>
            </w:pPr>
            <w:r w:rsidRPr="00736260">
              <w:rPr>
                <w:rFonts w:ascii="Bookman Old Style" w:hAnsi="Bookman Old Style" w:cs="Times New Roman"/>
                <w:sz w:val="24"/>
                <w:szCs w:val="24"/>
              </w:rPr>
              <w:t xml:space="preserve">Conclusion </w:t>
            </w:r>
          </w:p>
        </w:tc>
        <w:tc>
          <w:tcPr>
            <w:tcW w:w="6947" w:type="dxa"/>
            <w:gridSpan w:val="2"/>
          </w:tcPr>
          <w:p w:rsidR="000B5F03" w:rsidRPr="00736260" w:rsidRDefault="000B5F03" w:rsidP="000B5F03">
            <w:pPr>
              <w:jc w:val="both"/>
              <w:rPr>
                <w:rFonts w:ascii="Bookman Old Style" w:hAnsi="Bookman Old Style" w:cs="Times New Roman"/>
                <w:sz w:val="24"/>
                <w:szCs w:val="24"/>
              </w:rPr>
            </w:pPr>
            <w:r w:rsidRPr="00736260">
              <w:rPr>
                <w:rFonts w:ascii="Bookman Old Style" w:hAnsi="Bookman Old Style" w:cs="Times New Roman"/>
                <w:sz w:val="24"/>
                <w:szCs w:val="24"/>
              </w:rPr>
              <w:t xml:space="preserve">In view of above particulars, it is clear that the EMP-02 official of PA Cadre taking service eligibility for appearing </w:t>
            </w:r>
            <w:r>
              <w:rPr>
                <w:rFonts w:ascii="Bookman Old Style" w:hAnsi="Bookman Old Style" w:cs="Times New Roman"/>
                <w:sz w:val="24"/>
                <w:szCs w:val="24"/>
              </w:rPr>
              <w:t>AAO Exam 2018</w:t>
            </w:r>
            <w:r w:rsidRPr="00736260">
              <w:rPr>
                <w:rFonts w:ascii="Bookman Old Style" w:hAnsi="Bookman Old Style" w:cs="Times New Roman"/>
                <w:sz w:val="24"/>
                <w:szCs w:val="24"/>
              </w:rPr>
              <w:t xml:space="preserve">, which was drawing less pay in PA cadre then EMP-01 Official. </w:t>
            </w:r>
          </w:p>
          <w:p w:rsidR="000B5F03" w:rsidRPr="00736260" w:rsidRDefault="000B5F03" w:rsidP="000B5F03">
            <w:pPr>
              <w:jc w:val="both"/>
              <w:rPr>
                <w:rFonts w:ascii="Bookman Old Style" w:hAnsi="Bookman Old Style" w:cs="Times New Roman"/>
                <w:sz w:val="24"/>
                <w:szCs w:val="24"/>
              </w:rPr>
            </w:pPr>
            <w:r w:rsidRPr="00736260">
              <w:rPr>
                <w:rFonts w:ascii="Bookman Old Style" w:hAnsi="Bookman Old Style" w:cs="Times New Roman"/>
                <w:sz w:val="24"/>
                <w:szCs w:val="24"/>
              </w:rPr>
              <w:lastRenderedPageBreak/>
              <w:t xml:space="preserve">Further MACP was also not given to EMP-02 and he was getting less pay the EMP-01 official. </w:t>
            </w:r>
          </w:p>
          <w:p w:rsidR="000B5F03" w:rsidRPr="00736260" w:rsidRDefault="000B5F03" w:rsidP="000B5F03">
            <w:pPr>
              <w:jc w:val="both"/>
              <w:rPr>
                <w:rFonts w:ascii="Bookman Old Style" w:hAnsi="Bookman Old Style" w:cs="Times New Roman"/>
                <w:sz w:val="24"/>
                <w:szCs w:val="24"/>
              </w:rPr>
            </w:pPr>
            <w:r w:rsidRPr="00736260">
              <w:rPr>
                <w:rFonts w:ascii="Bookman Old Style" w:hAnsi="Bookman Old Style" w:cs="Times New Roman"/>
                <w:sz w:val="24"/>
                <w:szCs w:val="24"/>
              </w:rPr>
              <w:t xml:space="preserve">After implementation of DOP HQ order dated 08.11.2024 forwarded by PA Wing vide letter dated 09.12.2024, the Official EMP-01 having long length of service is drawing less pay, whereas EMP-02 getting more Pay. </w:t>
            </w:r>
          </w:p>
        </w:tc>
      </w:tr>
    </w:tbl>
    <w:p w:rsidR="00240463" w:rsidRPr="00736260" w:rsidRDefault="00240463" w:rsidP="00E31FD0">
      <w:pPr>
        <w:pStyle w:val="Default"/>
        <w:ind w:left="360"/>
        <w:jc w:val="both"/>
        <w:rPr>
          <w:b/>
          <w:sz w:val="22"/>
          <w:szCs w:val="22"/>
        </w:rPr>
      </w:pPr>
    </w:p>
    <w:p w:rsidR="00240463" w:rsidRPr="00736260" w:rsidRDefault="00240463" w:rsidP="00E31FD0">
      <w:pPr>
        <w:pStyle w:val="Default"/>
        <w:ind w:left="360"/>
        <w:jc w:val="both"/>
        <w:rPr>
          <w:b/>
          <w:sz w:val="22"/>
          <w:szCs w:val="22"/>
        </w:rPr>
      </w:pPr>
    </w:p>
    <w:p w:rsidR="00240463" w:rsidRPr="00736260" w:rsidRDefault="00240463" w:rsidP="00E31FD0">
      <w:pPr>
        <w:pStyle w:val="Default"/>
        <w:ind w:left="360"/>
        <w:jc w:val="both"/>
        <w:rPr>
          <w:b/>
          <w:sz w:val="22"/>
          <w:szCs w:val="22"/>
        </w:rPr>
      </w:pPr>
    </w:p>
    <w:tbl>
      <w:tblPr>
        <w:tblStyle w:val="TableGrid"/>
        <w:tblpPr w:leftFromText="180" w:rightFromText="180" w:vertAnchor="page" w:horzAnchor="margin" w:tblpXSpec="center" w:tblpY="4211"/>
        <w:tblW w:w="9634" w:type="dxa"/>
        <w:tblLayout w:type="fixed"/>
        <w:tblLook w:val="04A0" w:firstRow="1" w:lastRow="0" w:firstColumn="1" w:lastColumn="0" w:noHBand="0" w:noVBand="1"/>
      </w:tblPr>
      <w:tblGrid>
        <w:gridCol w:w="3681"/>
        <w:gridCol w:w="2977"/>
        <w:gridCol w:w="2976"/>
      </w:tblGrid>
      <w:tr w:rsidR="000B5F03" w:rsidRPr="00736260" w:rsidTr="000B5F03">
        <w:trPr>
          <w:trHeight w:val="48"/>
        </w:trPr>
        <w:tc>
          <w:tcPr>
            <w:tcW w:w="9634" w:type="dxa"/>
            <w:gridSpan w:val="3"/>
          </w:tcPr>
          <w:p w:rsidR="000B5F03" w:rsidRPr="00736260" w:rsidRDefault="000B5F03" w:rsidP="000B5F03">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 xml:space="preserve">ANNEXURE II </w:t>
            </w:r>
            <w:r w:rsidRPr="00736260">
              <w:rPr>
                <w:rFonts w:ascii="Bookman Old Style" w:hAnsi="Bookman Old Style" w:cs="Times New Roman"/>
                <w:b/>
                <w:bCs/>
                <w:sz w:val="24"/>
                <w:szCs w:val="24"/>
              </w:rPr>
              <w:t xml:space="preserve"> to Para 1.</w:t>
            </w:r>
            <w:r>
              <w:rPr>
                <w:rFonts w:ascii="Bookman Old Style" w:hAnsi="Bookman Old Style" w:cs="Times New Roman"/>
                <w:b/>
                <w:bCs/>
                <w:sz w:val="24"/>
                <w:szCs w:val="24"/>
              </w:rPr>
              <w:t>4</w:t>
            </w:r>
            <w:r w:rsidRPr="00736260">
              <w:rPr>
                <w:rFonts w:ascii="Bookman Old Style" w:hAnsi="Bookman Old Style" w:cs="Times New Roman"/>
                <w:b/>
                <w:bCs/>
                <w:sz w:val="23"/>
                <w:szCs w:val="23"/>
              </w:rPr>
              <w:t>– Rule 10 ANOMALY</w:t>
            </w:r>
          </w:p>
        </w:tc>
      </w:tr>
      <w:tr w:rsidR="000B5F03" w:rsidRPr="00736260" w:rsidTr="000B5F03">
        <w:trPr>
          <w:trHeight w:val="48"/>
        </w:trPr>
        <w:tc>
          <w:tcPr>
            <w:tcW w:w="3681" w:type="dxa"/>
          </w:tcPr>
          <w:p w:rsidR="000B5F03" w:rsidRPr="00736260" w:rsidRDefault="000B5F03" w:rsidP="000B5F03">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Service Particulars</w:t>
            </w:r>
          </w:p>
        </w:tc>
        <w:tc>
          <w:tcPr>
            <w:tcW w:w="2977" w:type="dxa"/>
          </w:tcPr>
          <w:p w:rsidR="000B5F03" w:rsidRPr="00736260" w:rsidRDefault="000B5F03" w:rsidP="000B5F03">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EMP- X</w:t>
            </w:r>
          </w:p>
        </w:tc>
        <w:tc>
          <w:tcPr>
            <w:tcW w:w="2976" w:type="dxa"/>
          </w:tcPr>
          <w:p w:rsidR="000B5F03" w:rsidRPr="00736260" w:rsidRDefault="000B5F03" w:rsidP="000B5F03">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EMP-Y</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Date of Joining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18.03.2011</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04.07.2014</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Pay Level in PA Cadre</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Level- 4</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Level- 4</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MACP-I detail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19.03.2021(level-5)</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MACP not granted</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DNI of the official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Jan-2022</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Jul-2022</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Total length of service as on 01.01.2022</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10Y 10 Months</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07Y 05 Months</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Eligibility for AAO Exam-22</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Yes</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No</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Eligibility claimed from eligible Junior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No</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Yes (1Y 07 Months)</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Service eligibility claim </w:t>
            </w:r>
          </w:p>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(maximum 2 Year)</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No</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Yes</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Date of Joining in AAO Cadre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14.12.2022</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19.12.2022</w:t>
            </w:r>
          </w:p>
        </w:tc>
      </w:tr>
      <w:tr w:rsidR="000B5F03" w:rsidRPr="00736260" w:rsidTr="000B5F03">
        <w:trPr>
          <w:trHeight w:val="591"/>
        </w:trPr>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 xml:space="preserve">Basic Pay of PA Cadre before joining to AAO Cadre </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Rs.38100/-</w:t>
            </w:r>
          </w:p>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(Level-5)</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Rs.32300/-</w:t>
            </w:r>
          </w:p>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(Level-4)</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Initial Pay in AAO on Dec-2022</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47600 (Level-8)</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47600 (Level-8)</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Pay in AAO on Jan-2023</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47600 (Level-8)</w:t>
            </w:r>
          </w:p>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(Increment not given)</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47600 (Level-8)</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Pay in AAO on July-2023</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47600 (Level-8)</w:t>
            </w:r>
          </w:p>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(Increment not given)</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49000 (Level-8)</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Pay in AAO on Jan-2024</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49000 (Level-8)</w:t>
            </w:r>
          </w:p>
          <w:p w:rsidR="000B5F03" w:rsidRPr="00736260" w:rsidRDefault="000B5F03" w:rsidP="000B5F03">
            <w:pPr>
              <w:jc w:val="center"/>
              <w:rPr>
                <w:rFonts w:ascii="Bookman Old Style" w:hAnsi="Bookman Old Style" w:cs="Times New Roman"/>
                <w:b/>
                <w:bCs/>
                <w:sz w:val="23"/>
                <w:szCs w:val="23"/>
              </w:rPr>
            </w:pPr>
            <w:r w:rsidRPr="00736260">
              <w:rPr>
                <w:rFonts w:ascii="Bookman Old Style" w:hAnsi="Bookman Old Style" w:cs="Times New Roman"/>
                <w:b/>
                <w:bCs/>
                <w:sz w:val="20"/>
                <w:szCs w:val="20"/>
              </w:rPr>
              <w:t>(in view of Rule-10 clarification- on change of DNI )</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49000 (Level-8)</w:t>
            </w:r>
          </w:p>
        </w:tc>
      </w:tr>
      <w:tr w:rsidR="000B5F03" w:rsidRPr="00736260" w:rsidTr="000B5F03">
        <w:tc>
          <w:tcPr>
            <w:tcW w:w="3681" w:type="dxa"/>
          </w:tcPr>
          <w:p w:rsidR="000B5F03" w:rsidRPr="00736260" w:rsidRDefault="000B5F03" w:rsidP="000B5F03">
            <w:pPr>
              <w:rPr>
                <w:rFonts w:ascii="Bookman Old Style" w:hAnsi="Bookman Old Style" w:cs="Times New Roman"/>
                <w:sz w:val="23"/>
                <w:szCs w:val="23"/>
              </w:rPr>
            </w:pPr>
            <w:r w:rsidRPr="00736260">
              <w:rPr>
                <w:rFonts w:ascii="Bookman Old Style" w:hAnsi="Bookman Old Style" w:cs="Times New Roman"/>
                <w:sz w:val="23"/>
                <w:szCs w:val="23"/>
              </w:rPr>
              <w:t>Pay in AAO on July-2024</w:t>
            </w:r>
          </w:p>
        </w:tc>
        <w:tc>
          <w:tcPr>
            <w:tcW w:w="2977"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49000 (Level-8)</w:t>
            </w:r>
          </w:p>
        </w:tc>
        <w:tc>
          <w:tcPr>
            <w:tcW w:w="2976" w:type="dxa"/>
          </w:tcPr>
          <w:p w:rsidR="000B5F03" w:rsidRPr="00736260" w:rsidRDefault="000B5F03" w:rsidP="000B5F03">
            <w:pPr>
              <w:jc w:val="center"/>
              <w:rPr>
                <w:rFonts w:ascii="Bookman Old Style" w:hAnsi="Bookman Old Style" w:cs="Times New Roman"/>
                <w:sz w:val="23"/>
                <w:szCs w:val="23"/>
              </w:rPr>
            </w:pPr>
            <w:r w:rsidRPr="00736260">
              <w:rPr>
                <w:rFonts w:ascii="Bookman Old Style" w:hAnsi="Bookman Old Style" w:cs="Times New Roman"/>
                <w:sz w:val="23"/>
                <w:szCs w:val="23"/>
              </w:rPr>
              <w:t>50500 (Level-8)</w:t>
            </w:r>
          </w:p>
        </w:tc>
      </w:tr>
      <w:tr w:rsidR="000B5F03" w:rsidRPr="00736260" w:rsidTr="000B5F03">
        <w:tc>
          <w:tcPr>
            <w:tcW w:w="9634" w:type="dxa"/>
            <w:gridSpan w:val="3"/>
          </w:tcPr>
          <w:p w:rsidR="000B5F03" w:rsidRPr="00736260" w:rsidRDefault="000B5F03" w:rsidP="000B5F03">
            <w:pPr>
              <w:ind w:firstLine="720"/>
              <w:jc w:val="both"/>
              <w:rPr>
                <w:rFonts w:ascii="Bookman Old Style" w:hAnsi="Bookman Old Style" w:cs="Times New Roman"/>
                <w:sz w:val="24"/>
                <w:szCs w:val="24"/>
              </w:rPr>
            </w:pPr>
          </w:p>
          <w:p w:rsidR="000B5F03" w:rsidRPr="00736260" w:rsidRDefault="000B5F03" w:rsidP="000B5F03">
            <w:pPr>
              <w:ind w:firstLine="720"/>
              <w:jc w:val="both"/>
              <w:rPr>
                <w:rFonts w:ascii="Bookman Old Style" w:hAnsi="Bookman Old Style" w:cs="Times New Roman"/>
                <w:sz w:val="24"/>
                <w:szCs w:val="24"/>
              </w:rPr>
            </w:pPr>
            <w:r w:rsidRPr="00736260">
              <w:rPr>
                <w:rFonts w:ascii="Bookman Old Style" w:hAnsi="Bookman Old Style" w:cs="Times New Roman"/>
                <w:sz w:val="24"/>
                <w:szCs w:val="24"/>
              </w:rPr>
              <w:t>EMP-Y has less length of regular service in PA Cadre comparison to EMP-X and EMP-Y was also drawing less pay before joining to AAO cadre. After implementation of said OM dated 07.11.2024, EMP-Y is getting more pay in AAO cadre from EMP-X.</w:t>
            </w:r>
          </w:p>
        </w:tc>
      </w:tr>
    </w:tbl>
    <w:p w:rsidR="00E31FD0" w:rsidRPr="00736260" w:rsidRDefault="00E31FD0" w:rsidP="00E31FD0">
      <w:pPr>
        <w:jc w:val="center"/>
        <w:rPr>
          <w:rFonts w:ascii="Bookman Old Style" w:hAnsi="Bookman Old Style" w:cs="Times New Roman"/>
          <w:sz w:val="24"/>
          <w:szCs w:val="24"/>
        </w:rPr>
      </w:pPr>
    </w:p>
    <w:p w:rsidR="00E31FD0" w:rsidRPr="00736260" w:rsidRDefault="00E31FD0"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0D230F" w:rsidRPr="00736260" w:rsidRDefault="000D230F" w:rsidP="00D925C9">
      <w:pPr>
        <w:spacing w:after="0"/>
        <w:jc w:val="both"/>
        <w:rPr>
          <w:rFonts w:ascii="Bookman Old Style" w:hAnsi="Bookman Old Style"/>
        </w:rPr>
      </w:pPr>
    </w:p>
    <w:p w:rsidR="00426B1E" w:rsidRDefault="00A4698C" w:rsidP="00517CED">
      <w:pPr>
        <w:spacing w:after="0"/>
        <w:jc w:val="center"/>
        <w:rPr>
          <w:rFonts w:ascii="Bookman Old Style" w:hAnsi="Bookman Old Style"/>
          <w:b/>
        </w:rPr>
      </w:pPr>
      <w:r>
        <w:rPr>
          <w:rFonts w:ascii="Bookman Old Style" w:hAnsi="Bookman Old Style"/>
          <w:b/>
        </w:rPr>
        <w:lastRenderedPageBreak/>
        <w:t>A</w:t>
      </w:r>
      <w:r w:rsidR="00426B1E" w:rsidRPr="00426B1E">
        <w:rPr>
          <w:rFonts w:ascii="Bookman Old Style" w:hAnsi="Bookman Old Style"/>
          <w:b/>
        </w:rPr>
        <w:t>NNEXURE III TO PARA 1.5 – MACP ANOMALY</w:t>
      </w:r>
    </w:p>
    <w:p w:rsidR="0026467B" w:rsidRDefault="0026467B" w:rsidP="0026467B">
      <w:pPr>
        <w:pStyle w:val="NormalWeb"/>
        <w:spacing w:before="0" w:beforeAutospacing="0" w:after="0" w:afterAutospacing="0"/>
        <w:ind w:firstLine="720"/>
        <w:jc w:val="both"/>
      </w:pPr>
      <w:r>
        <w:t>Mr. X and Mr. Y both belong to the PA/ cadre. The Date of Entry (DOE) of both officials is June 1998 and November, 1999 respectively. Both the officials were promoted as AAO and the cadre on 01.10.2018 after qualifying the LDCE-2018 and secured there ranking in the LDCE-2018 556 and 697 respectively.</w:t>
      </w:r>
    </w:p>
    <w:p w:rsidR="0026467B" w:rsidRDefault="0026467B" w:rsidP="00517CED">
      <w:pPr>
        <w:spacing w:after="0"/>
        <w:jc w:val="center"/>
        <w:rPr>
          <w:rFonts w:ascii="Bookman Old Style" w:hAnsi="Bookman Old Style"/>
          <w:b/>
        </w:rPr>
      </w:pPr>
    </w:p>
    <w:tbl>
      <w:tblPr>
        <w:tblStyle w:val="TableGrid"/>
        <w:tblpPr w:leftFromText="180" w:rightFromText="180" w:vertAnchor="page" w:horzAnchor="margin" w:tblpY="4067"/>
        <w:tblW w:w="9634" w:type="dxa"/>
        <w:tblLayout w:type="fixed"/>
        <w:tblLook w:val="04A0" w:firstRow="1" w:lastRow="0" w:firstColumn="1" w:lastColumn="0" w:noHBand="0" w:noVBand="1"/>
      </w:tblPr>
      <w:tblGrid>
        <w:gridCol w:w="3681"/>
        <w:gridCol w:w="2977"/>
        <w:gridCol w:w="2976"/>
      </w:tblGrid>
      <w:tr w:rsidR="00517CED" w:rsidRPr="00736260" w:rsidTr="00517CED">
        <w:trPr>
          <w:trHeight w:val="48"/>
        </w:trPr>
        <w:tc>
          <w:tcPr>
            <w:tcW w:w="9634" w:type="dxa"/>
            <w:gridSpan w:val="3"/>
          </w:tcPr>
          <w:p w:rsidR="00517CED" w:rsidRPr="00736260" w:rsidRDefault="00517CED" w:rsidP="00517CED">
            <w:pPr>
              <w:tabs>
                <w:tab w:val="right" w:pos="520"/>
              </w:tabs>
              <w:jc w:val="center"/>
              <w:rPr>
                <w:rFonts w:ascii="Bookman Old Style" w:hAnsi="Bookman Old Style" w:cs="Times New Roman"/>
                <w:b/>
                <w:bCs/>
                <w:sz w:val="23"/>
                <w:szCs w:val="23"/>
              </w:rPr>
            </w:pPr>
            <w:r>
              <w:rPr>
                <w:rFonts w:ascii="Bookman Old Style" w:hAnsi="Bookman Old Style" w:cs="Times New Roman"/>
                <w:b/>
                <w:bCs/>
                <w:sz w:val="23"/>
                <w:szCs w:val="23"/>
              </w:rPr>
              <w:t>ANNEXURE III TO PARA 1.5 - MACP ANOMALY</w:t>
            </w:r>
          </w:p>
        </w:tc>
      </w:tr>
      <w:tr w:rsidR="00517CED" w:rsidRPr="00736260" w:rsidTr="00517CED">
        <w:trPr>
          <w:trHeight w:val="48"/>
        </w:trPr>
        <w:tc>
          <w:tcPr>
            <w:tcW w:w="3681" w:type="dxa"/>
          </w:tcPr>
          <w:p w:rsidR="00517CED" w:rsidRPr="00736260" w:rsidRDefault="00517CED" w:rsidP="00517CED">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Service Particulars</w:t>
            </w:r>
          </w:p>
        </w:tc>
        <w:tc>
          <w:tcPr>
            <w:tcW w:w="2977" w:type="dxa"/>
          </w:tcPr>
          <w:p w:rsidR="00517CED" w:rsidRPr="00736260" w:rsidRDefault="00517CED" w:rsidP="00517CED">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M</w:t>
            </w:r>
            <w:r>
              <w:rPr>
                <w:rFonts w:ascii="Bookman Old Style" w:hAnsi="Bookman Old Style" w:cs="Times New Roman"/>
                <w:b/>
                <w:bCs/>
                <w:sz w:val="23"/>
                <w:szCs w:val="23"/>
              </w:rPr>
              <w:t>r.</w:t>
            </w:r>
            <w:r w:rsidRPr="00736260">
              <w:rPr>
                <w:rFonts w:ascii="Bookman Old Style" w:hAnsi="Bookman Old Style" w:cs="Times New Roman"/>
                <w:b/>
                <w:bCs/>
                <w:sz w:val="23"/>
                <w:szCs w:val="23"/>
              </w:rPr>
              <w:t>- X</w:t>
            </w:r>
          </w:p>
        </w:tc>
        <w:tc>
          <w:tcPr>
            <w:tcW w:w="2976" w:type="dxa"/>
          </w:tcPr>
          <w:p w:rsidR="00517CED" w:rsidRPr="00736260" w:rsidRDefault="00517CED" w:rsidP="00517CED">
            <w:pPr>
              <w:tabs>
                <w:tab w:val="right" w:pos="520"/>
              </w:tabs>
              <w:jc w:val="center"/>
              <w:rPr>
                <w:rFonts w:ascii="Bookman Old Style" w:hAnsi="Bookman Old Style" w:cs="Times New Roman"/>
                <w:b/>
                <w:bCs/>
                <w:sz w:val="23"/>
                <w:szCs w:val="23"/>
              </w:rPr>
            </w:pPr>
            <w:r w:rsidRPr="00736260">
              <w:rPr>
                <w:rFonts w:ascii="Bookman Old Style" w:hAnsi="Bookman Old Style" w:cs="Times New Roman"/>
                <w:b/>
                <w:bCs/>
                <w:sz w:val="23"/>
                <w:szCs w:val="23"/>
              </w:rPr>
              <w:t>M</w:t>
            </w:r>
            <w:r>
              <w:rPr>
                <w:rFonts w:ascii="Bookman Old Style" w:hAnsi="Bookman Old Style" w:cs="Times New Roman"/>
                <w:b/>
                <w:bCs/>
                <w:sz w:val="23"/>
                <w:szCs w:val="23"/>
              </w:rPr>
              <w:t>r.</w:t>
            </w:r>
            <w:r w:rsidRPr="00736260">
              <w:rPr>
                <w:rFonts w:ascii="Bookman Old Style" w:hAnsi="Bookman Old Style" w:cs="Times New Roman"/>
                <w:b/>
                <w:bCs/>
                <w:sz w:val="23"/>
                <w:szCs w:val="23"/>
              </w:rPr>
              <w:t>-Y</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 Induction Training Period (90 days)</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09.06.1998 to 07.09.1998</w:t>
            </w:r>
          </w:p>
        </w:tc>
        <w:tc>
          <w:tcPr>
            <w:tcW w:w="2976"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02.08.1999 to 31.10.1998</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sidRPr="00736260">
              <w:rPr>
                <w:rFonts w:ascii="Bookman Old Style" w:hAnsi="Bookman Old Style" w:cs="Times New Roman"/>
                <w:sz w:val="23"/>
                <w:szCs w:val="23"/>
              </w:rPr>
              <w:t xml:space="preserve">Date of Joining </w:t>
            </w:r>
            <w:r>
              <w:rPr>
                <w:rFonts w:ascii="Bookman Old Style" w:hAnsi="Bookman Old Style" w:cs="Times New Roman"/>
                <w:sz w:val="23"/>
                <w:szCs w:val="23"/>
              </w:rPr>
              <w:t>in PA Cadre</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08.09.1998</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01.11.1999</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Scale on Date of Joining</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4000-100-6000</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4000-100-6000</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31.12.2005</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4800 (Additional increment was allowed due to join in between February to June under 6</w:t>
            </w:r>
            <w:r w:rsidRPr="00B8697A">
              <w:rPr>
                <w:rFonts w:ascii="Bookman Old Style" w:hAnsi="Bookman Old Style" w:cs="Times New Roman"/>
                <w:sz w:val="23"/>
                <w:szCs w:val="23"/>
                <w:vertAlign w:val="superscript"/>
              </w:rPr>
              <w:t>th</w:t>
            </w:r>
            <w:r>
              <w:rPr>
                <w:rFonts w:ascii="Bookman Old Style" w:hAnsi="Bookman Old Style" w:cs="Times New Roman"/>
                <w:sz w:val="23"/>
                <w:szCs w:val="23"/>
              </w:rPr>
              <w:t xml:space="preserve"> CPC)</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4600</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01.01.2006</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11,330/-</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10,960/-</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MACP I date</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23.09.2008</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02.12.2009</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23.09.2008</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13,160/-</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11,980/-</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02.12.2009</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13,560/-</w:t>
            </w:r>
          </w:p>
        </w:tc>
        <w:tc>
          <w:tcPr>
            <w:tcW w:w="2976"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13,110/-</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31.12.2015</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16220/-</w:t>
            </w:r>
          </w:p>
        </w:tc>
        <w:tc>
          <w:tcPr>
            <w:tcW w:w="2976"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15,690/-</w:t>
            </w:r>
          </w:p>
        </w:tc>
      </w:tr>
      <w:tr w:rsidR="00517CED" w:rsidRPr="00736260" w:rsidTr="00517CED">
        <w:trPr>
          <w:trHeight w:val="329"/>
        </w:trPr>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fixed on 01.01.2016</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42800@L5</w:t>
            </w:r>
          </w:p>
        </w:tc>
        <w:tc>
          <w:tcPr>
            <w:tcW w:w="2976"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40400@L5</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 xml:space="preserve">MACP II date </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25.09.2018</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02.12.2019</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25.09.2018</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49,000/- @ L6 (Opted  fixation on date of MACP II)</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44100 @ L5</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sidRPr="00736260">
              <w:rPr>
                <w:rFonts w:ascii="Bookman Old Style" w:hAnsi="Bookman Old Style" w:cs="Times New Roman"/>
                <w:sz w:val="23"/>
                <w:szCs w:val="23"/>
              </w:rPr>
              <w:t>Total le</w:t>
            </w:r>
            <w:r>
              <w:rPr>
                <w:rFonts w:ascii="Bookman Old Style" w:hAnsi="Bookman Old Style" w:cs="Times New Roman"/>
                <w:sz w:val="23"/>
                <w:szCs w:val="23"/>
              </w:rPr>
              <w:t>ngth of service as on 01.10.2018</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20 yrs. 3 Months</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18 yrs. 11 Months</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Date of Promotion as AAO</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01.10.2018</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01.10.2018</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01.10.2018</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49,000/- @ L8</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47600/- @L8. No fixation. Only placement.</w:t>
            </w:r>
          </w:p>
        </w:tc>
      </w:tr>
      <w:tr w:rsidR="00517CED" w:rsidRPr="00736260" w:rsidTr="00517CED">
        <w:tc>
          <w:tcPr>
            <w:tcW w:w="3681" w:type="dxa"/>
          </w:tcPr>
          <w:p w:rsidR="00517CED" w:rsidRPr="00736260" w:rsidRDefault="00517CED" w:rsidP="00517CED">
            <w:pPr>
              <w:rPr>
                <w:rFonts w:ascii="Bookman Old Style" w:hAnsi="Bookman Old Style" w:cs="Times New Roman"/>
                <w:sz w:val="23"/>
                <w:szCs w:val="23"/>
              </w:rPr>
            </w:pPr>
            <w:r w:rsidRPr="00736260">
              <w:rPr>
                <w:rFonts w:ascii="Bookman Old Style" w:hAnsi="Bookman Old Style" w:cs="Times New Roman"/>
                <w:sz w:val="23"/>
                <w:szCs w:val="23"/>
              </w:rPr>
              <w:t xml:space="preserve">DNI of the official </w:t>
            </w:r>
          </w:p>
        </w:tc>
        <w:tc>
          <w:tcPr>
            <w:tcW w:w="2977"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July, 2019</w:t>
            </w:r>
          </w:p>
        </w:tc>
        <w:tc>
          <w:tcPr>
            <w:tcW w:w="2976" w:type="dxa"/>
          </w:tcPr>
          <w:p w:rsidR="00517CED" w:rsidRPr="00736260"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July, 2019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02.12.2019 (MACP II date of Y)</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50500@L8</w:t>
            </w:r>
          </w:p>
        </w:tc>
        <w:tc>
          <w:tcPr>
            <w:tcW w:w="2976"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 xml:space="preserve">53100@L9. Opted for DNI. Next higher Cell in L9. </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Annual Increment</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Every July</w:t>
            </w:r>
          </w:p>
        </w:tc>
        <w:tc>
          <w:tcPr>
            <w:tcW w:w="2976" w:type="dxa"/>
            <w:vAlign w:val="bottom"/>
          </w:tcPr>
          <w:p w:rsidR="00517CED" w:rsidRPr="005F1D12" w:rsidRDefault="00517CED" w:rsidP="00517CED">
            <w:pPr>
              <w:jc w:val="center"/>
              <w:rPr>
                <w:rFonts w:ascii="Bookman Old Style" w:hAnsi="Bookman Old Style" w:cs="Calibri"/>
                <w:color w:val="000000"/>
              </w:rPr>
            </w:pPr>
            <w:r w:rsidRPr="005F1D12">
              <w:rPr>
                <w:rFonts w:ascii="Bookman Old Style" w:hAnsi="Bookman Old Style" w:cs="Calibri"/>
                <w:color w:val="000000"/>
              </w:rPr>
              <w:t>Every January</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01.07.2020</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52000@L8</w:t>
            </w:r>
          </w:p>
        </w:tc>
        <w:tc>
          <w:tcPr>
            <w:tcW w:w="2976" w:type="dxa"/>
            <w:vAlign w:val="bottom"/>
          </w:tcPr>
          <w:p w:rsidR="00517CED" w:rsidRPr="005F1D12" w:rsidRDefault="00517CED" w:rsidP="00517CED">
            <w:pPr>
              <w:jc w:val="center"/>
              <w:rPr>
                <w:rFonts w:ascii="Bookman Old Style" w:hAnsi="Bookman Old Style" w:cs="Calibri"/>
                <w:color w:val="000000"/>
              </w:rPr>
            </w:pPr>
            <w:r>
              <w:rPr>
                <w:rFonts w:ascii="Bookman Old Style" w:hAnsi="Bookman Old Style" w:cs="Calibri"/>
                <w:color w:val="000000"/>
              </w:rPr>
              <w:t>54700@L9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01.01.2021</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52000@L8</w:t>
            </w:r>
          </w:p>
        </w:tc>
        <w:tc>
          <w:tcPr>
            <w:tcW w:w="2976" w:type="dxa"/>
            <w:vAlign w:val="bottom"/>
          </w:tcPr>
          <w:p w:rsidR="00517CED" w:rsidRPr="005F1D12" w:rsidRDefault="00517CED" w:rsidP="00517CED">
            <w:pPr>
              <w:jc w:val="center"/>
              <w:rPr>
                <w:rFonts w:ascii="Bookman Old Style" w:hAnsi="Bookman Old Style" w:cs="Calibri"/>
                <w:color w:val="000000"/>
              </w:rPr>
            </w:pPr>
            <w:r>
              <w:rPr>
                <w:rFonts w:ascii="Bookman Old Style" w:hAnsi="Bookman Old Style" w:cs="Calibri"/>
                <w:color w:val="000000"/>
              </w:rPr>
              <w:t>56300@L9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01.07.2021</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53600@L8</w:t>
            </w:r>
          </w:p>
        </w:tc>
        <w:tc>
          <w:tcPr>
            <w:tcW w:w="2976" w:type="dxa"/>
            <w:vAlign w:val="bottom"/>
          </w:tcPr>
          <w:p w:rsidR="00517CED" w:rsidRPr="005F1D12" w:rsidRDefault="00517CED" w:rsidP="00517CED">
            <w:pPr>
              <w:jc w:val="center"/>
              <w:rPr>
                <w:rFonts w:ascii="Bookman Old Style" w:hAnsi="Bookman Old Style" w:cs="Calibri"/>
                <w:color w:val="000000"/>
              </w:rPr>
            </w:pPr>
            <w:r>
              <w:rPr>
                <w:rFonts w:ascii="Bookman Old Style" w:hAnsi="Bookman Old Style" w:cs="Calibri"/>
                <w:color w:val="000000"/>
              </w:rPr>
              <w:t>56300@L9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01.01.2022</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53600@L8</w:t>
            </w:r>
          </w:p>
        </w:tc>
        <w:tc>
          <w:tcPr>
            <w:tcW w:w="2976" w:type="dxa"/>
            <w:vAlign w:val="bottom"/>
          </w:tcPr>
          <w:p w:rsidR="00517CED" w:rsidRPr="005F1D12" w:rsidRDefault="00517CED" w:rsidP="00517CED">
            <w:pPr>
              <w:jc w:val="center"/>
              <w:rPr>
                <w:rFonts w:ascii="Bookman Old Style" w:hAnsi="Bookman Old Style" w:cs="Calibri"/>
                <w:color w:val="000000"/>
              </w:rPr>
            </w:pPr>
            <w:r>
              <w:rPr>
                <w:rFonts w:ascii="Bookman Old Style" w:hAnsi="Bookman Old Style" w:cs="Calibri"/>
                <w:color w:val="000000"/>
              </w:rPr>
              <w:t>58000@L9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01.07.2022</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55200@L8</w:t>
            </w:r>
          </w:p>
        </w:tc>
        <w:tc>
          <w:tcPr>
            <w:tcW w:w="2976" w:type="dxa"/>
            <w:vAlign w:val="bottom"/>
          </w:tcPr>
          <w:p w:rsidR="00517CED" w:rsidRPr="005F1D12" w:rsidRDefault="00517CED" w:rsidP="00517CED">
            <w:pPr>
              <w:jc w:val="center"/>
              <w:rPr>
                <w:rFonts w:ascii="Bookman Old Style" w:hAnsi="Bookman Old Style" w:cs="Calibri"/>
                <w:color w:val="000000"/>
              </w:rPr>
            </w:pPr>
            <w:r>
              <w:rPr>
                <w:rFonts w:ascii="Bookman Old Style" w:hAnsi="Bookman Old Style" w:cs="Calibri"/>
                <w:color w:val="000000"/>
              </w:rPr>
              <w:t>58000@L9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Date of Next NFU</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01.10.2022</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No NFU, since MACP got in advance before NFU</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01.10.2022</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56300@L9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58000@L9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lastRenderedPageBreak/>
              <w:t>Pay as on 01.01.2023</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56300@L9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58000@L9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01.07.2023</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59700@L9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59700@L9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Annual Increment after DNI Option</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Every January</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Every January</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01.01.2024</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61500@L9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61500@L9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01.07.2024</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61500@L9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61500@L9</w:t>
            </w:r>
          </w:p>
        </w:tc>
      </w:tr>
      <w:tr w:rsidR="00517CED" w:rsidRPr="00736260" w:rsidTr="00517CED">
        <w:tc>
          <w:tcPr>
            <w:tcW w:w="3681" w:type="dxa"/>
          </w:tcPr>
          <w:p w:rsidR="00517CED" w:rsidRDefault="00517CED" w:rsidP="00517CED">
            <w:pPr>
              <w:rPr>
                <w:rFonts w:ascii="Bookman Old Style" w:hAnsi="Bookman Old Style" w:cs="Times New Roman"/>
                <w:sz w:val="23"/>
                <w:szCs w:val="23"/>
              </w:rPr>
            </w:pPr>
            <w:r>
              <w:rPr>
                <w:rFonts w:ascii="Bookman Old Style" w:hAnsi="Bookman Old Style" w:cs="Times New Roman"/>
                <w:sz w:val="23"/>
                <w:szCs w:val="23"/>
              </w:rPr>
              <w:t>Pay as on 01.01.2025</w:t>
            </w:r>
          </w:p>
        </w:tc>
        <w:tc>
          <w:tcPr>
            <w:tcW w:w="2977" w:type="dxa"/>
          </w:tcPr>
          <w:p w:rsidR="00517CED" w:rsidRDefault="00517CED" w:rsidP="00517CED">
            <w:pPr>
              <w:jc w:val="center"/>
              <w:rPr>
                <w:rFonts w:ascii="Bookman Old Style" w:hAnsi="Bookman Old Style" w:cs="Times New Roman"/>
                <w:sz w:val="23"/>
                <w:szCs w:val="23"/>
              </w:rPr>
            </w:pPr>
            <w:r>
              <w:rPr>
                <w:rFonts w:ascii="Bookman Old Style" w:hAnsi="Bookman Old Style" w:cs="Times New Roman"/>
                <w:sz w:val="23"/>
                <w:szCs w:val="23"/>
              </w:rPr>
              <w:t>63300@L9</w:t>
            </w:r>
          </w:p>
        </w:tc>
        <w:tc>
          <w:tcPr>
            <w:tcW w:w="2976" w:type="dxa"/>
            <w:vAlign w:val="bottom"/>
          </w:tcPr>
          <w:p w:rsidR="00517CED" w:rsidRDefault="00517CED" w:rsidP="00517CED">
            <w:pPr>
              <w:jc w:val="center"/>
              <w:rPr>
                <w:rFonts w:ascii="Bookman Old Style" w:hAnsi="Bookman Old Style" w:cs="Calibri"/>
                <w:color w:val="000000"/>
              </w:rPr>
            </w:pPr>
            <w:r>
              <w:rPr>
                <w:rFonts w:ascii="Bookman Old Style" w:hAnsi="Bookman Old Style" w:cs="Calibri"/>
                <w:color w:val="000000"/>
              </w:rPr>
              <w:t>63300@L9</w:t>
            </w:r>
          </w:p>
        </w:tc>
      </w:tr>
      <w:tr w:rsidR="00517CED" w:rsidRPr="00736260" w:rsidTr="00517CED">
        <w:tc>
          <w:tcPr>
            <w:tcW w:w="9634" w:type="dxa"/>
            <w:gridSpan w:val="3"/>
          </w:tcPr>
          <w:p w:rsidR="00517CED" w:rsidRPr="00736260" w:rsidRDefault="00517CED" w:rsidP="00517CED">
            <w:pPr>
              <w:spacing w:line="360" w:lineRule="auto"/>
              <w:jc w:val="both"/>
              <w:rPr>
                <w:rFonts w:ascii="Bookman Old Style" w:hAnsi="Bookman Old Style" w:cs="Times New Roman"/>
                <w:sz w:val="23"/>
                <w:szCs w:val="23"/>
              </w:rPr>
            </w:pPr>
            <w:r>
              <w:t>It is noticed that after promotion to the AAO cadre, Mr. X, AAO, is drawing lesser Grade Pay than Mr. Y, AAO, despite Mr. Y being junior to him either in the PA cadre or in the AAO cadre. Therefore, the matter may kindly be clarified and the anomaly removed accordingly.</w:t>
            </w:r>
          </w:p>
        </w:tc>
      </w:tr>
    </w:tbl>
    <w:p w:rsidR="00C052E9" w:rsidRDefault="00C052E9" w:rsidP="00A3711A">
      <w:pPr>
        <w:spacing w:after="0"/>
        <w:jc w:val="center"/>
        <w:rPr>
          <w:rFonts w:ascii="Bookman Old Style" w:hAnsi="Bookman Old Style"/>
        </w:rPr>
      </w:pPr>
    </w:p>
    <w:sectPr w:rsidR="00C052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65" w:rsidRDefault="000F1965" w:rsidP="00E31FD0">
      <w:pPr>
        <w:spacing w:after="0" w:line="240" w:lineRule="auto"/>
      </w:pPr>
      <w:r>
        <w:separator/>
      </w:r>
    </w:p>
  </w:endnote>
  <w:endnote w:type="continuationSeparator" w:id="0">
    <w:p w:rsidR="000F1965" w:rsidRDefault="000F1965" w:rsidP="00E3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65" w:rsidRDefault="000F1965" w:rsidP="00E31FD0">
      <w:pPr>
        <w:spacing w:after="0" w:line="240" w:lineRule="auto"/>
      </w:pPr>
      <w:r>
        <w:separator/>
      </w:r>
    </w:p>
  </w:footnote>
  <w:footnote w:type="continuationSeparator" w:id="0">
    <w:p w:rsidR="000F1965" w:rsidRDefault="000F1965" w:rsidP="00E3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FE1" w:rsidRDefault="00870FE1" w:rsidP="00E31FD0">
    <w:pPr>
      <w:pStyle w:val="Header"/>
      <w:tabs>
        <w:tab w:val="left" w:pos="15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8A2"/>
    <w:multiLevelType w:val="hybridMultilevel"/>
    <w:tmpl w:val="976A6914"/>
    <w:lvl w:ilvl="0" w:tplc="6374B9C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202596"/>
    <w:multiLevelType w:val="multilevel"/>
    <w:tmpl w:val="384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91562"/>
    <w:multiLevelType w:val="multilevel"/>
    <w:tmpl w:val="0BA0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C06A0"/>
    <w:multiLevelType w:val="hybridMultilevel"/>
    <w:tmpl w:val="B6044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1D5BE6"/>
    <w:multiLevelType w:val="multilevel"/>
    <w:tmpl w:val="8AD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A0123"/>
    <w:multiLevelType w:val="multilevel"/>
    <w:tmpl w:val="B9C2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E2952"/>
    <w:multiLevelType w:val="multilevel"/>
    <w:tmpl w:val="B03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F2042"/>
    <w:multiLevelType w:val="multilevel"/>
    <w:tmpl w:val="7FC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11E81"/>
    <w:multiLevelType w:val="hybridMultilevel"/>
    <w:tmpl w:val="4ACCECD8"/>
    <w:lvl w:ilvl="0" w:tplc="D6BA2696">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C64891"/>
    <w:multiLevelType w:val="multilevel"/>
    <w:tmpl w:val="3F52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33E7D"/>
    <w:multiLevelType w:val="multilevel"/>
    <w:tmpl w:val="E1A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00C6B"/>
    <w:multiLevelType w:val="multilevel"/>
    <w:tmpl w:val="40A20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04304"/>
    <w:multiLevelType w:val="multilevel"/>
    <w:tmpl w:val="6D5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EE05CB"/>
    <w:multiLevelType w:val="hybridMultilevel"/>
    <w:tmpl w:val="E2D21304"/>
    <w:lvl w:ilvl="0" w:tplc="D9AC2730">
      <w:start w:val="1"/>
      <w:numFmt w:val="bullet"/>
      <w:lvlText w:val="●"/>
      <w:lvlJc w:val="left"/>
      <w:pPr>
        <w:ind w:left="720" w:hanging="360"/>
      </w:pPr>
    </w:lvl>
    <w:lvl w:ilvl="1" w:tplc="D2D6099E">
      <w:numFmt w:val="decimal"/>
      <w:lvlText w:val=""/>
      <w:lvlJc w:val="left"/>
    </w:lvl>
    <w:lvl w:ilvl="2" w:tplc="7372779A">
      <w:numFmt w:val="decimal"/>
      <w:lvlText w:val=""/>
      <w:lvlJc w:val="left"/>
    </w:lvl>
    <w:lvl w:ilvl="3" w:tplc="B448C5D2">
      <w:numFmt w:val="decimal"/>
      <w:lvlText w:val=""/>
      <w:lvlJc w:val="left"/>
    </w:lvl>
    <w:lvl w:ilvl="4" w:tplc="B6542A80">
      <w:numFmt w:val="decimal"/>
      <w:lvlText w:val=""/>
      <w:lvlJc w:val="left"/>
    </w:lvl>
    <w:lvl w:ilvl="5" w:tplc="E9923090">
      <w:numFmt w:val="decimal"/>
      <w:lvlText w:val=""/>
      <w:lvlJc w:val="left"/>
    </w:lvl>
    <w:lvl w:ilvl="6" w:tplc="74DEF64C">
      <w:numFmt w:val="decimal"/>
      <w:lvlText w:val=""/>
      <w:lvlJc w:val="left"/>
    </w:lvl>
    <w:lvl w:ilvl="7" w:tplc="5754BAB8">
      <w:numFmt w:val="decimal"/>
      <w:lvlText w:val=""/>
      <w:lvlJc w:val="left"/>
    </w:lvl>
    <w:lvl w:ilvl="8" w:tplc="D0DAD4E4">
      <w:numFmt w:val="decimal"/>
      <w:lvlText w:val=""/>
      <w:lvlJc w:val="left"/>
    </w:lvl>
  </w:abstractNum>
  <w:abstractNum w:abstractNumId="14" w15:restartNumberingAfterBreak="0">
    <w:nsid w:val="30F273C7"/>
    <w:multiLevelType w:val="multilevel"/>
    <w:tmpl w:val="DC4E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D38A2"/>
    <w:multiLevelType w:val="multilevel"/>
    <w:tmpl w:val="9A1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D6F25"/>
    <w:multiLevelType w:val="multilevel"/>
    <w:tmpl w:val="5DBA3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217F1"/>
    <w:multiLevelType w:val="hybridMultilevel"/>
    <w:tmpl w:val="1F124E2C"/>
    <w:lvl w:ilvl="0" w:tplc="0360E1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133080"/>
    <w:multiLevelType w:val="multilevel"/>
    <w:tmpl w:val="A56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5959D6"/>
    <w:multiLevelType w:val="multilevel"/>
    <w:tmpl w:val="83C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035E6"/>
    <w:multiLevelType w:val="multilevel"/>
    <w:tmpl w:val="FD54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D5EEE"/>
    <w:multiLevelType w:val="multilevel"/>
    <w:tmpl w:val="224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83B2B"/>
    <w:multiLevelType w:val="multilevel"/>
    <w:tmpl w:val="1E8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C785A"/>
    <w:multiLevelType w:val="multilevel"/>
    <w:tmpl w:val="B6C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96B14"/>
    <w:multiLevelType w:val="hybridMultilevel"/>
    <w:tmpl w:val="1A7A38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D7B3670"/>
    <w:multiLevelType w:val="multilevel"/>
    <w:tmpl w:val="53A2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E5490"/>
    <w:multiLevelType w:val="multilevel"/>
    <w:tmpl w:val="A0CC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75E11"/>
    <w:multiLevelType w:val="multilevel"/>
    <w:tmpl w:val="EF4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72640E"/>
    <w:multiLevelType w:val="multilevel"/>
    <w:tmpl w:val="571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52E82"/>
    <w:multiLevelType w:val="multilevel"/>
    <w:tmpl w:val="E1E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8A1553"/>
    <w:multiLevelType w:val="multilevel"/>
    <w:tmpl w:val="86D4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2A75C8"/>
    <w:multiLevelType w:val="multilevel"/>
    <w:tmpl w:val="717A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36E9F"/>
    <w:multiLevelType w:val="multilevel"/>
    <w:tmpl w:val="0BF6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A0DEE"/>
    <w:multiLevelType w:val="multilevel"/>
    <w:tmpl w:val="30D2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C540C"/>
    <w:multiLevelType w:val="multilevel"/>
    <w:tmpl w:val="177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86810"/>
    <w:multiLevelType w:val="multilevel"/>
    <w:tmpl w:val="F33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E069A6"/>
    <w:multiLevelType w:val="multilevel"/>
    <w:tmpl w:val="C96A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F51B07"/>
    <w:multiLevelType w:val="multilevel"/>
    <w:tmpl w:val="073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40E2C"/>
    <w:multiLevelType w:val="multilevel"/>
    <w:tmpl w:val="D2CC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94EA6"/>
    <w:multiLevelType w:val="multilevel"/>
    <w:tmpl w:val="07F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03C71"/>
    <w:multiLevelType w:val="multilevel"/>
    <w:tmpl w:val="0C9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5503E"/>
    <w:multiLevelType w:val="multilevel"/>
    <w:tmpl w:val="64A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5"/>
  </w:num>
  <w:num w:numId="3">
    <w:abstractNumId w:val="26"/>
  </w:num>
  <w:num w:numId="4">
    <w:abstractNumId w:val="30"/>
  </w:num>
  <w:num w:numId="5">
    <w:abstractNumId w:val="4"/>
  </w:num>
  <w:num w:numId="6">
    <w:abstractNumId w:val="29"/>
  </w:num>
  <w:num w:numId="7">
    <w:abstractNumId w:val="12"/>
  </w:num>
  <w:num w:numId="8">
    <w:abstractNumId w:val="18"/>
  </w:num>
  <w:num w:numId="9">
    <w:abstractNumId w:val="27"/>
  </w:num>
  <w:num w:numId="10">
    <w:abstractNumId w:val="41"/>
  </w:num>
  <w:num w:numId="11">
    <w:abstractNumId w:val="39"/>
  </w:num>
  <w:num w:numId="12">
    <w:abstractNumId w:val="22"/>
  </w:num>
  <w:num w:numId="13">
    <w:abstractNumId w:val="21"/>
  </w:num>
  <w:num w:numId="14">
    <w:abstractNumId w:val="32"/>
  </w:num>
  <w:num w:numId="15">
    <w:abstractNumId w:val="7"/>
  </w:num>
  <w:num w:numId="16">
    <w:abstractNumId w:val="19"/>
  </w:num>
  <w:num w:numId="17">
    <w:abstractNumId w:val="10"/>
  </w:num>
  <w:num w:numId="18">
    <w:abstractNumId w:val="16"/>
  </w:num>
  <w:num w:numId="19">
    <w:abstractNumId w:val="5"/>
  </w:num>
  <w:num w:numId="20">
    <w:abstractNumId w:val="20"/>
  </w:num>
  <w:num w:numId="21">
    <w:abstractNumId w:val="13"/>
    <w:lvlOverride w:ilvl="0">
      <w:startOverride w:val="1"/>
    </w:lvlOverride>
  </w:num>
  <w:num w:numId="22">
    <w:abstractNumId w:val="40"/>
  </w:num>
  <w:num w:numId="23">
    <w:abstractNumId w:val="23"/>
  </w:num>
  <w:num w:numId="24">
    <w:abstractNumId w:val="37"/>
  </w:num>
  <w:num w:numId="25">
    <w:abstractNumId w:val="15"/>
  </w:num>
  <w:num w:numId="26">
    <w:abstractNumId w:val="9"/>
  </w:num>
  <w:num w:numId="27">
    <w:abstractNumId w:val="25"/>
  </w:num>
  <w:num w:numId="28">
    <w:abstractNumId w:val="33"/>
  </w:num>
  <w:num w:numId="29">
    <w:abstractNumId w:val="38"/>
  </w:num>
  <w:num w:numId="30">
    <w:abstractNumId w:val="6"/>
  </w:num>
  <w:num w:numId="31">
    <w:abstractNumId w:val="28"/>
  </w:num>
  <w:num w:numId="32">
    <w:abstractNumId w:val="34"/>
  </w:num>
  <w:num w:numId="33">
    <w:abstractNumId w:val="36"/>
  </w:num>
  <w:num w:numId="34">
    <w:abstractNumId w:val="31"/>
  </w:num>
  <w:num w:numId="35">
    <w:abstractNumId w:val="14"/>
  </w:num>
  <w:num w:numId="36">
    <w:abstractNumId w:val="3"/>
  </w:num>
  <w:num w:numId="37">
    <w:abstractNumId w:val="17"/>
  </w:num>
  <w:num w:numId="38">
    <w:abstractNumId w:val="2"/>
  </w:num>
  <w:num w:numId="39">
    <w:abstractNumId w:val="11"/>
  </w:num>
  <w:num w:numId="40">
    <w:abstractNumId w:val="24"/>
  </w:num>
  <w:num w:numId="41">
    <w:abstractNumId w:val="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34"/>
    <w:rsid w:val="0000105F"/>
    <w:rsid w:val="00004D16"/>
    <w:rsid w:val="00004FD3"/>
    <w:rsid w:val="00015437"/>
    <w:rsid w:val="0001649C"/>
    <w:rsid w:val="0001766E"/>
    <w:rsid w:val="00017A6C"/>
    <w:rsid w:val="00017DFF"/>
    <w:rsid w:val="00020AF1"/>
    <w:rsid w:val="000303FB"/>
    <w:rsid w:val="000316BA"/>
    <w:rsid w:val="000327BC"/>
    <w:rsid w:val="00032D6D"/>
    <w:rsid w:val="0003486E"/>
    <w:rsid w:val="000348F0"/>
    <w:rsid w:val="00035476"/>
    <w:rsid w:val="00040C50"/>
    <w:rsid w:val="00040DB1"/>
    <w:rsid w:val="00042BBF"/>
    <w:rsid w:val="00044CD2"/>
    <w:rsid w:val="00050852"/>
    <w:rsid w:val="00052819"/>
    <w:rsid w:val="00056308"/>
    <w:rsid w:val="000576B8"/>
    <w:rsid w:val="000577B5"/>
    <w:rsid w:val="00060424"/>
    <w:rsid w:val="0006438F"/>
    <w:rsid w:val="0006568B"/>
    <w:rsid w:val="000667DC"/>
    <w:rsid w:val="00066C05"/>
    <w:rsid w:val="000673E2"/>
    <w:rsid w:val="00067B02"/>
    <w:rsid w:val="00072E90"/>
    <w:rsid w:val="0007359F"/>
    <w:rsid w:val="000777CF"/>
    <w:rsid w:val="0008058C"/>
    <w:rsid w:val="000812DE"/>
    <w:rsid w:val="00082E81"/>
    <w:rsid w:val="00084E3D"/>
    <w:rsid w:val="000875C9"/>
    <w:rsid w:val="000902B6"/>
    <w:rsid w:val="00093C22"/>
    <w:rsid w:val="00095C35"/>
    <w:rsid w:val="00097B8A"/>
    <w:rsid w:val="000A0451"/>
    <w:rsid w:val="000A175F"/>
    <w:rsid w:val="000A7484"/>
    <w:rsid w:val="000B150A"/>
    <w:rsid w:val="000B1A6B"/>
    <w:rsid w:val="000B201A"/>
    <w:rsid w:val="000B5F03"/>
    <w:rsid w:val="000B7324"/>
    <w:rsid w:val="000C33F1"/>
    <w:rsid w:val="000C368F"/>
    <w:rsid w:val="000C499A"/>
    <w:rsid w:val="000C58C0"/>
    <w:rsid w:val="000D1F34"/>
    <w:rsid w:val="000D230F"/>
    <w:rsid w:val="000D26E3"/>
    <w:rsid w:val="000D292B"/>
    <w:rsid w:val="000D340F"/>
    <w:rsid w:val="000D4F12"/>
    <w:rsid w:val="000D5363"/>
    <w:rsid w:val="000D5CE1"/>
    <w:rsid w:val="000D7391"/>
    <w:rsid w:val="000E51B5"/>
    <w:rsid w:val="000E5C41"/>
    <w:rsid w:val="000E7807"/>
    <w:rsid w:val="000F010D"/>
    <w:rsid w:val="000F1965"/>
    <w:rsid w:val="000F2A89"/>
    <w:rsid w:val="000F46D0"/>
    <w:rsid w:val="00100655"/>
    <w:rsid w:val="001007F4"/>
    <w:rsid w:val="001072F6"/>
    <w:rsid w:val="00107FB7"/>
    <w:rsid w:val="001112E9"/>
    <w:rsid w:val="00111FC9"/>
    <w:rsid w:val="00113418"/>
    <w:rsid w:val="00116380"/>
    <w:rsid w:val="00116543"/>
    <w:rsid w:val="001201D4"/>
    <w:rsid w:val="00120986"/>
    <w:rsid w:val="001234F8"/>
    <w:rsid w:val="00126F6A"/>
    <w:rsid w:val="00134A84"/>
    <w:rsid w:val="0013677E"/>
    <w:rsid w:val="00136FD3"/>
    <w:rsid w:val="001371A0"/>
    <w:rsid w:val="001405D5"/>
    <w:rsid w:val="00140C57"/>
    <w:rsid w:val="00142B74"/>
    <w:rsid w:val="00142C1D"/>
    <w:rsid w:val="0014356A"/>
    <w:rsid w:val="0014403D"/>
    <w:rsid w:val="00145102"/>
    <w:rsid w:val="0014546D"/>
    <w:rsid w:val="00153782"/>
    <w:rsid w:val="001544E0"/>
    <w:rsid w:val="001563FA"/>
    <w:rsid w:val="0015671E"/>
    <w:rsid w:val="00160062"/>
    <w:rsid w:val="001604FB"/>
    <w:rsid w:val="001613AB"/>
    <w:rsid w:val="00161F84"/>
    <w:rsid w:val="00162043"/>
    <w:rsid w:val="00162081"/>
    <w:rsid w:val="00164733"/>
    <w:rsid w:val="00164AEB"/>
    <w:rsid w:val="00166A5D"/>
    <w:rsid w:val="00171B8B"/>
    <w:rsid w:val="00172A6A"/>
    <w:rsid w:val="00172E88"/>
    <w:rsid w:val="00172F9E"/>
    <w:rsid w:val="001735DC"/>
    <w:rsid w:val="00174457"/>
    <w:rsid w:val="001779AA"/>
    <w:rsid w:val="00180029"/>
    <w:rsid w:val="00180397"/>
    <w:rsid w:val="00185B6D"/>
    <w:rsid w:val="00187422"/>
    <w:rsid w:val="00187654"/>
    <w:rsid w:val="00194A0A"/>
    <w:rsid w:val="001956FF"/>
    <w:rsid w:val="00197FDE"/>
    <w:rsid w:val="001A0702"/>
    <w:rsid w:val="001A4908"/>
    <w:rsid w:val="001A5442"/>
    <w:rsid w:val="001A54AD"/>
    <w:rsid w:val="001A6892"/>
    <w:rsid w:val="001B1054"/>
    <w:rsid w:val="001B1364"/>
    <w:rsid w:val="001B1759"/>
    <w:rsid w:val="001B2B64"/>
    <w:rsid w:val="001B315D"/>
    <w:rsid w:val="001B41DF"/>
    <w:rsid w:val="001B41FE"/>
    <w:rsid w:val="001B53A5"/>
    <w:rsid w:val="001B6441"/>
    <w:rsid w:val="001B7CF4"/>
    <w:rsid w:val="001C5D1F"/>
    <w:rsid w:val="001C6ADA"/>
    <w:rsid w:val="001D10CB"/>
    <w:rsid w:val="001D2DFA"/>
    <w:rsid w:val="001D3795"/>
    <w:rsid w:val="001D3EFE"/>
    <w:rsid w:val="001D41F3"/>
    <w:rsid w:val="001D5A87"/>
    <w:rsid w:val="001D6BA3"/>
    <w:rsid w:val="001E08D4"/>
    <w:rsid w:val="001E1007"/>
    <w:rsid w:val="001E46DF"/>
    <w:rsid w:val="001E4C4E"/>
    <w:rsid w:val="001E7CA8"/>
    <w:rsid w:val="001F0C1C"/>
    <w:rsid w:val="001F3211"/>
    <w:rsid w:val="001F770C"/>
    <w:rsid w:val="00202967"/>
    <w:rsid w:val="00203E82"/>
    <w:rsid w:val="00211975"/>
    <w:rsid w:val="00211AAB"/>
    <w:rsid w:val="00215107"/>
    <w:rsid w:val="00215658"/>
    <w:rsid w:val="0021602C"/>
    <w:rsid w:val="00223B89"/>
    <w:rsid w:val="0022436F"/>
    <w:rsid w:val="002261F7"/>
    <w:rsid w:val="002361B1"/>
    <w:rsid w:val="00236D2E"/>
    <w:rsid w:val="00236E0B"/>
    <w:rsid w:val="00240463"/>
    <w:rsid w:val="00240786"/>
    <w:rsid w:val="002413F6"/>
    <w:rsid w:val="00241BB3"/>
    <w:rsid w:val="00251B43"/>
    <w:rsid w:val="002545DA"/>
    <w:rsid w:val="00256457"/>
    <w:rsid w:val="002572FE"/>
    <w:rsid w:val="00257BC0"/>
    <w:rsid w:val="00260A5F"/>
    <w:rsid w:val="0026467B"/>
    <w:rsid w:val="00264985"/>
    <w:rsid w:val="00270BA3"/>
    <w:rsid w:val="002723EC"/>
    <w:rsid w:val="00273ABA"/>
    <w:rsid w:val="002775C2"/>
    <w:rsid w:val="00285084"/>
    <w:rsid w:val="0029035E"/>
    <w:rsid w:val="00292B63"/>
    <w:rsid w:val="002931A5"/>
    <w:rsid w:val="00293D57"/>
    <w:rsid w:val="00294683"/>
    <w:rsid w:val="00295FC5"/>
    <w:rsid w:val="00296D6F"/>
    <w:rsid w:val="002A1F47"/>
    <w:rsid w:val="002A4179"/>
    <w:rsid w:val="002A42E9"/>
    <w:rsid w:val="002A5FB3"/>
    <w:rsid w:val="002B0E5A"/>
    <w:rsid w:val="002B2FAF"/>
    <w:rsid w:val="002B5E5C"/>
    <w:rsid w:val="002B7BA8"/>
    <w:rsid w:val="002C4EAE"/>
    <w:rsid w:val="002D0177"/>
    <w:rsid w:val="002D10F3"/>
    <w:rsid w:val="002D24CE"/>
    <w:rsid w:val="002D5A32"/>
    <w:rsid w:val="002D690A"/>
    <w:rsid w:val="002D707F"/>
    <w:rsid w:val="002D70E2"/>
    <w:rsid w:val="002D7632"/>
    <w:rsid w:val="002E2B2C"/>
    <w:rsid w:val="002E3656"/>
    <w:rsid w:val="002E60A4"/>
    <w:rsid w:val="002E7FFB"/>
    <w:rsid w:val="002F10F5"/>
    <w:rsid w:val="002F60CE"/>
    <w:rsid w:val="002F63E3"/>
    <w:rsid w:val="002F7704"/>
    <w:rsid w:val="003025F5"/>
    <w:rsid w:val="003026BE"/>
    <w:rsid w:val="00304EFA"/>
    <w:rsid w:val="0030558B"/>
    <w:rsid w:val="00306461"/>
    <w:rsid w:val="003108C1"/>
    <w:rsid w:val="003130C3"/>
    <w:rsid w:val="00315E21"/>
    <w:rsid w:val="00316DC9"/>
    <w:rsid w:val="00316EA7"/>
    <w:rsid w:val="0032507D"/>
    <w:rsid w:val="003275BE"/>
    <w:rsid w:val="00327BF4"/>
    <w:rsid w:val="00334BE9"/>
    <w:rsid w:val="0033782E"/>
    <w:rsid w:val="003401C2"/>
    <w:rsid w:val="00340439"/>
    <w:rsid w:val="003435E0"/>
    <w:rsid w:val="00344702"/>
    <w:rsid w:val="003455BA"/>
    <w:rsid w:val="003522B5"/>
    <w:rsid w:val="00352AE0"/>
    <w:rsid w:val="00354078"/>
    <w:rsid w:val="0035551A"/>
    <w:rsid w:val="0035568A"/>
    <w:rsid w:val="0035604A"/>
    <w:rsid w:val="003567CE"/>
    <w:rsid w:val="0035724D"/>
    <w:rsid w:val="0036005B"/>
    <w:rsid w:val="003618D5"/>
    <w:rsid w:val="00364DBE"/>
    <w:rsid w:val="00365B0C"/>
    <w:rsid w:val="00371400"/>
    <w:rsid w:val="00371AA7"/>
    <w:rsid w:val="003728E3"/>
    <w:rsid w:val="00372E89"/>
    <w:rsid w:val="00375110"/>
    <w:rsid w:val="00375EC4"/>
    <w:rsid w:val="00377A54"/>
    <w:rsid w:val="00380543"/>
    <w:rsid w:val="00380667"/>
    <w:rsid w:val="00381914"/>
    <w:rsid w:val="003819BA"/>
    <w:rsid w:val="003837FB"/>
    <w:rsid w:val="00384742"/>
    <w:rsid w:val="003864A7"/>
    <w:rsid w:val="003904D8"/>
    <w:rsid w:val="00391ABE"/>
    <w:rsid w:val="0039426B"/>
    <w:rsid w:val="00394ED0"/>
    <w:rsid w:val="00395104"/>
    <w:rsid w:val="003A138A"/>
    <w:rsid w:val="003A223D"/>
    <w:rsid w:val="003A285D"/>
    <w:rsid w:val="003A4C2E"/>
    <w:rsid w:val="003A50B9"/>
    <w:rsid w:val="003B0EE2"/>
    <w:rsid w:val="003B1C3C"/>
    <w:rsid w:val="003B1FCE"/>
    <w:rsid w:val="003B29F8"/>
    <w:rsid w:val="003B3D77"/>
    <w:rsid w:val="003B439D"/>
    <w:rsid w:val="003B6FC4"/>
    <w:rsid w:val="003C2539"/>
    <w:rsid w:val="003C3A66"/>
    <w:rsid w:val="003C6018"/>
    <w:rsid w:val="003D161C"/>
    <w:rsid w:val="003D3221"/>
    <w:rsid w:val="003D47F9"/>
    <w:rsid w:val="003E003B"/>
    <w:rsid w:val="003E0E1B"/>
    <w:rsid w:val="003E1195"/>
    <w:rsid w:val="003E1D3E"/>
    <w:rsid w:val="003E344F"/>
    <w:rsid w:val="003F01FE"/>
    <w:rsid w:val="003F0F13"/>
    <w:rsid w:val="003F1159"/>
    <w:rsid w:val="003F2A68"/>
    <w:rsid w:val="003F2C51"/>
    <w:rsid w:val="003F3213"/>
    <w:rsid w:val="0040630A"/>
    <w:rsid w:val="0040635A"/>
    <w:rsid w:val="004173C6"/>
    <w:rsid w:val="0042009F"/>
    <w:rsid w:val="00423623"/>
    <w:rsid w:val="00424E3F"/>
    <w:rsid w:val="00425A32"/>
    <w:rsid w:val="00426B1E"/>
    <w:rsid w:val="00427577"/>
    <w:rsid w:val="00430026"/>
    <w:rsid w:val="00430710"/>
    <w:rsid w:val="00431934"/>
    <w:rsid w:val="00431C00"/>
    <w:rsid w:val="004414F2"/>
    <w:rsid w:val="00441C8A"/>
    <w:rsid w:val="00442581"/>
    <w:rsid w:val="004427D2"/>
    <w:rsid w:val="00442FB3"/>
    <w:rsid w:val="0044590C"/>
    <w:rsid w:val="004471BB"/>
    <w:rsid w:val="00451B42"/>
    <w:rsid w:val="00451BA5"/>
    <w:rsid w:val="004525B9"/>
    <w:rsid w:val="004529C3"/>
    <w:rsid w:val="00454546"/>
    <w:rsid w:val="00454B5F"/>
    <w:rsid w:val="00456A95"/>
    <w:rsid w:val="00464145"/>
    <w:rsid w:val="00464B25"/>
    <w:rsid w:val="004650A1"/>
    <w:rsid w:val="00466102"/>
    <w:rsid w:val="004672EB"/>
    <w:rsid w:val="004678C6"/>
    <w:rsid w:val="00470278"/>
    <w:rsid w:val="00470FFE"/>
    <w:rsid w:val="004728F3"/>
    <w:rsid w:val="00472E54"/>
    <w:rsid w:val="00473024"/>
    <w:rsid w:val="0047666C"/>
    <w:rsid w:val="004802F1"/>
    <w:rsid w:val="00482FA5"/>
    <w:rsid w:val="00483150"/>
    <w:rsid w:val="0048372E"/>
    <w:rsid w:val="00485A60"/>
    <w:rsid w:val="0049543A"/>
    <w:rsid w:val="00496435"/>
    <w:rsid w:val="00497131"/>
    <w:rsid w:val="004A0642"/>
    <w:rsid w:val="004A1FF6"/>
    <w:rsid w:val="004A2C24"/>
    <w:rsid w:val="004A4C2E"/>
    <w:rsid w:val="004A5425"/>
    <w:rsid w:val="004A5925"/>
    <w:rsid w:val="004B2838"/>
    <w:rsid w:val="004B39D0"/>
    <w:rsid w:val="004B4408"/>
    <w:rsid w:val="004B4A6E"/>
    <w:rsid w:val="004B6051"/>
    <w:rsid w:val="004B7E17"/>
    <w:rsid w:val="004C22AD"/>
    <w:rsid w:val="004C2FCF"/>
    <w:rsid w:val="004C4428"/>
    <w:rsid w:val="004C5FB0"/>
    <w:rsid w:val="004C6D75"/>
    <w:rsid w:val="004D23C5"/>
    <w:rsid w:val="004D2D80"/>
    <w:rsid w:val="004D38D4"/>
    <w:rsid w:val="004D58BC"/>
    <w:rsid w:val="004E1255"/>
    <w:rsid w:val="004E2EE4"/>
    <w:rsid w:val="004E6401"/>
    <w:rsid w:val="004E7787"/>
    <w:rsid w:val="004F23C9"/>
    <w:rsid w:val="004F38D9"/>
    <w:rsid w:val="004F3A44"/>
    <w:rsid w:val="004F5ACD"/>
    <w:rsid w:val="004F7EB5"/>
    <w:rsid w:val="00500068"/>
    <w:rsid w:val="00500357"/>
    <w:rsid w:val="00506944"/>
    <w:rsid w:val="00506F43"/>
    <w:rsid w:val="00507184"/>
    <w:rsid w:val="005074AF"/>
    <w:rsid w:val="00511FDA"/>
    <w:rsid w:val="005129B0"/>
    <w:rsid w:val="00516F89"/>
    <w:rsid w:val="00517AF4"/>
    <w:rsid w:val="00517CED"/>
    <w:rsid w:val="00521AD0"/>
    <w:rsid w:val="00523EEE"/>
    <w:rsid w:val="005244D9"/>
    <w:rsid w:val="00525CE1"/>
    <w:rsid w:val="00527CC8"/>
    <w:rsid w:val="00530A56"/>
    <w:rsid w:val="00531A5E"/>
    <w:rsid w:val="00532264"/>
    <w:rsid w:val="00534315"/>
    <w:rsid w:val="005358E7"/>
    <w:rsid w:val="00535E8E"/>
    <w:rsid w:val="00537D91"/>
    <w:rsid w:val="00542160"/>
    <w:rsid w:val="00542FA7"/>
    <w:rsid w:val="00543AEF"/>
    <w:rsid w:val="00543D35"/>
    <w:rsid w:val="005539A7"/>
    <w:rsid w:val="00555BC8"/>
    <w:rsid w:val="00556121"/>
    <w:rsid w:val="00556FFF"/>
    <w:rsid w:val="00560126"/>
    <w:rsid w:val="005614EA"/>
    <w:rsid w:val="005622CB"/>
    <w:rsid w:val="005645B6"/>
    <w:rsid w:val="00567B32"/>
    <w:rsid w:val="00567F9E"/>
    <w:rsid w:val="005705F7"/>
    <w:rsid w:val="005725E0"/>
    <w:rsid w:val="00574CF4"/>
    <w:rsid w:val="00574D8C"/>
    <w:rsid w:val="00575829"/>
    <w:rsid w:val="00576E9E"/>
    <w:rsid w:val="0057704D"/>
    <w:rsid w:val="00577A27"/>
    <w:rsid w:val="00584202"/>
    <w:rsid w:val="00584375"/>
    <w:rsid w:val="00585561"/>
    <w:rsid w:val="00585942"/>
    <w:rsid w:val="00586376"/>
    <w:rsid w:val="00587273"/>
    <w:rsid w:val="00587715"/>
    <w:rsid w:val="005911A1"/>
    <w:rsid w:val="00591A08"/>
    <w:rsid w:val="005A15FC"/>
    <w:rsid w:val="005A28CD"/>
    <w:rsid w:val="005A3FB3"/>
    <w:rsid w:val="005A6F0B"/>
    <w:rsid w:val="005B2128"/>
    <w:rsid w:val="005B3563"/>
    <w:rsid w:val="005B5DED"/>
    <w:rsid w:val="005B6895"/>
    <w:rsid w:val="005B76FD"/>
    <w:rsid w:val="005C00A7"/>
    <w:rsid w:val="005C0C52"/>
    <w:rsid w:val="005C1782"/>
    <w:rsid w:val="005C1787"/>
    <w:rsid w:val="005C18F7"/>
    <w:rsid w:val="005C2D6F"/>
    <w:rsid w:val="005C34DE"/>
    <w:rsid w:val="005C4286"/>
    <w:rsid w:val="005C5154"/>
    <w:rsid w:val="005C7F32"/>
    <w:rsid w:val="005D1C4F"/>
    <w:rsid w:val="005D4B85"/>
    <w:rsid w:val="005D6F24"/>
    <w:rsid w:val="005E07E1"/>
    <w:rsid w:val="005E1927"/>
    <w:rsid w:val="005E4A34"/>
    <w:rsid w:val="005E5FFF"/>
    <w:rsid w:val="005E61B8"/>
    <w:rsid w:val="005E67AD"/>
    <w:rsid w:val="005E68A4"/>
    <w:rsid w:val="005E6CCA"/>
    <w:rsid w:val="005E6F7D"/>
    <w:rsid w:val="005E7B1A"/>
    <w:rsid w:val="005F1D12"/>
    <w:rsid w:val="005F2653"/>
    <w:rsid w:val="005F534A"/>
    <w:rsid w:val="005F7C86"/>
    <w:rsid w:val="0060115D"/>
    <w:rsid w:val="006024D4"/>
    <w:rsid w:val="00602811"/>
    <w:rsid w:val="006057FA"/>
    <w:rsid w:val="00607994"/>
    <w:rsid w:val="00611909"/>
    <w:rsid w:val="0061576E"/>
    <w:rsid w:val="00616096"/>
    <w:rsid w:val="00633166"/>
    <w:rsid w:val="00634212"/>
    <w:rsid w:val="00634CE1"/>
    <w:rsid w:val="0063538E"/>
    <w:rsid w:val="006376BC"/>
    <w:rsid w:val="00643C69"/>
    <w:rsid w:val="00646A2E"/>
    <w:rsid w:val="006507C6"/>
    <w:rsid w:val="0065238B"/>
    <w:rsid w:val="00654E99"/>
    <w:rsid w:val="00655A49"/>
    <w:rsid w:val="006565BD"/>
    <w:rsid w:val="00656FA4"/>
    <w:rsid w:val="00660017"/>
    <w:rsid w:val="00663C3B"/>
    <w:rsid w:val="00664080"/>
    <w:rsid w:val="006665DA"/>
    <w:rsid w:val="00670CC7"/>
    <w:rsid w:val="0067101A"/>
    <w:rsid w:val="00672138"/>
    <w:rsid w:val="00675AFC"/>
    <w:rsid w:val="0067785A"/>
    <w:rsid w:val="006810E9"/>
    <w:rsid w:val="00681B68"/>
    <w:rsid w:val="0068685D"/>
    <w:rsid w:val="006924E8"/>
    <w:rsid w:val="006931C0"/>
    <w:rsid w:val="0069387D"/>
    <w:rsid w:val="00695349"/>
    <w:rsid w:val="00696914"/>
    <w:rsid w:val="006970AD"/>
    <w:rsid w:val="006A0C37"/>
    <w:rsid w:val="006A0E4C"/>
    <w:rsid w:val="006A2EAE"/>
    <w:rsid w:val="006A3543"/>
    <w:rsid w:val="006A44BE"/>
    <w:rsid w:val="006A55D4"/>
    <w:rsid w:val="006A7692"/>
    <w:rsid w:val="006B18D7"/>
    <w:rsid w:val="006B2FAC"/>
    <w:rsid w:val="006B3FF9"/>
    <w:rsid w:val="006B6D4E"/>
    <w:rsid w:val="006C1EDA"/>
    <w:rsid w:val="006C3C64"/>
    <w:rsid w:val="006C4B4C"/>
    <w:rsid w:val="006C5360"/>
    <w:rsid w:val="006D0FA4"/>
    <w:rsid w:val="006D1497"/>
    <w:rsid w:val="006D2179"/>
    <w:rsid w:val="006E04BD"/>
    <w:rsid w:val="006E0795"/>
    <w:rsid w:val="006E0D05"/>
    <w:rsid w:val="006E1D82"/>
    <w:rsid w:val="006E3D1C"/>
    <w:rsid w:val="006E7D02"/>
    <w:rsid w:val="006F0A66"/>
    <w:rsid w:val="006F1E00"/>
    <w:rsid w:val="006F2E71"/>
    <w:rsid w:val="006F3BD8"/>
    <w:rsid w:val="006F4AB1"/>
    <w:rsid w:val="006F6010"/>
    <w:rsid w:val="0070061D"/>
    <w:rsid w:val="0070213E"/>
    <w:rsid w:val="00702D24"/>
    <w:rsid w:val="007035B2"/>
    <w:rsid w:val="00704607"/>
    <w:rsid w:val="00705B8C"/>
    <w:rsid w:val="007078BA"/>
    <w:rsid w:val="007079AD"/>
    <w:rsid w:val="00707F08"/>
    <w:rsid w:val="00711BF2"/>
    <w:rsid w:val="00712931"/>
    <w:rsid w:val="007136D8"/>
    <w:rsid w:val="00714086"/>
    <w:rsid w:val="00715A56"/>
    <w:rsid w:val="00717452"/>
    <w:rsid w:val="00717E57"/>
    <w:rsid w:val="00722ACB"/>
    <w:rsid w:val="007256B7"/>
    <w:rsid w:val="00725F50"/>
    <w:rsid w:val="00730627"/>
    <w:rsid w:val="007319B0"/>
    <w:rsid w:val="00732937"/>
    <w:rsid w:val="0073333B"/>
    <w:rsid w:val="00734BD9"/>
    <w:rsid w:val="00734E9D"/>
    <w:rsid w:val="007359BF"/>
    <w:rsid w:val="00735DF1"/>
    <w:rsid w:val="00736260"/>
    <w:rsid w:val="00737970"/>
    <w:rsid w:val="00741F9A"/>
    <w:rsid w:val="00743439"/>
    <w:rsid w:val="0074343D"/>
    <w:rsid w:val="00743A5C"/>
    <w:rsid w:val="00743B4F"/>
    <w:rsid w:val="00743F90"/>
    <w:rsid w:val="00744BC1"/>
    <w:rsid w:val="007450D6"/>
    <w:rsid w:val="0074687A"/>
    <w:rsid w:val="0075022A"/>
    <w:rsid w:val="00752639"/>
    <w:rsid w:val="007546CF"/>
    <w:rsid w:val="00754C9D"/>
    <w:rsid w:val="00756DE0"/>
    <w:rsid w:val="00760316"/>
    <w:rsid w:val="00760BFD"/>
    <w:rsid w:val="007619E8"/>
    <w:rsid w:val="007628ED"/>
    <w:rsid w:val="00762E0E"/>
    <w:rsid w:val="0076428C"/>
    <w:rsid w:val="0076451A"/>
    <w:rsid w:val="007658A9"/>
    <w:rsid w:val="00767F88"/>
    <w:rsid w:val="00775A28"/>
    <w:rsid w:val="007771C0"/>
    <w:rsid w:val="007804A6"/>
    <w:rsid w:val="00781BD7"/>
    <w:rsid w:val="00781CA7"/>
    <w:rsid w:val="00782275"/>
    <w:rsid w:val="0078332C"/>
    <w:rsid w:val="007850F2"/>
    <w:rsid w:val="00785938"/>
    <w:rsid w:val="007871F2"/>
    <w:rsid w:val="00790979"/>
    <w:rsid w:val="00792ABA"/>
    <w:rsid w:val="00796721"/>
    <w:rsid w:val="007976B8"/>
    <w:rsid w:val="007A0AC2"/>
    <w:rsid w:val="007A45F0"/>
    <w:rsid w:val="007B1BD6"/>
    <w:rsid w:val="007B3FA8"/>
    <w:rsid w:val="007B3FF3"/>
    <w:rsid w:val="007B4CF7"/>
    <w:rsid w:val="007B558F"/>
    <w:rsid w:val="007B5658"/>
    <w:rsid w:val="007C06C3"/>
    <w:rsid w:val="007C192B"/>
    <w:rsid w:val="007C2288"/>
    <w:rsid w:val="007C3D21"/>
    <w:rsid w:val="007C3D46"/>
    <w:rsid w:val="007C52F0"/>
    <w:rsid w:val="007C5D69"/>
    <w:rsid w:val="007D4096"/>
    <w:rsid w:val="007D4864"/>
    <w:rsid w:val="007D5146"/>
    <w:rsid w:val="007D66DB"/>
    <w:rsid w:val="007E2AAC"/>
    <w:rsid w:val="007E3B7C"/>
    <w:rsid w:val="007E72F4"/>
    <w:rsid w:val="007F0462"/>
    <w:rsid w:val="007F0E7D"/>
    <w:rsid w:val="007F164E"/>
    <w:rsid w:val="007F3329"/>
    <w:rsid w:val="007F3F13"/>
    <w:rsid w:val="007F5CD0"/>
    <w:rsid w:val="0080316D"/>
    <w:rsid w:val="00803EEF"/>
    <w:rsid w:val="00805299"/>
    <w:rsid w:val="00806C0C"/>
    <w:rsid w:val="00811DE7"/>
    <w:rsid w:val="00814462"/>
    <w:rsid w:val="00815BAA"/>
    <w:rsid w:val="00816515"/>
    <w:rsid w:val="00816DA1"/>
    <w:rsid w:val="008170BC"/>
    <w:rsid w:val="008175DF"/>
    <w:rsid w:val="00817BA2"/>
    <w:rsid w:val="0082038D"/>
    <w:rsid w:val="008227DD"/>
    <w:rsid w:val="00826367"/>
    <w:rsid w:val="00830214"/>
    <w:rsid w:val="00830C91"/>
    <w:rsid w:val="00831DAD"/>
    <w:rsid w:val="00832D17"/>
    <w:rsid w:val="00836075"/>
    <w:rsid w:val="008363C9"/>
    <w:rsid w:val="0084424A"/>
    <w:rsid w:val="00844A4B"/>
    <w:rsid w:val="0084737B"/>
    <w:rsid w:val="008558D6"/>
    <w:rsid w:val="0086319F"/>
    <w:rsid w:val="00866D5E"/>
    <w:rsid w:val="00867628"/>
    <w:rsid w:val="0087074E"/>
    <w:rsid w:val="00870FE1"/>
    <w:rsid w:val="00872541"/>
    <w:rsid w:val="00872AF9"/>
    <w:rsid w:val="00874CB1"/>
    <w:rsid w:val="008774AA"/>
    <w:rsid w:val="00885A11"/>
    <w:rsid w:val="00886448"/>
    <w:rsid w:val="00893CB3"/>
    <w:rsid w:val="008964D0"/>
    <w:rsid w:val="008A0F81"/>
    <w:rsid w:val="008A236B"/>
    <w:rsid w:val="008A39FF"/>
    <w:rsid w:val="008A4063"/>
    <w:rsid w:val="008A4BF7"/>
    <w:rsid w:val="008B0A45"/>
    <w:rsid w:val="008B26F9"/>
    <w:rsid w:val="008B3C7F"/>
    <w:rsid w:val="008B6AA2"/>
    <w:rsid w:val="008B704F"/>
    <w:rsid w:val="008C0532"/>
    <w:rsid w:val="008C07B0"/>
    <w:rsid w:val="008C0807"/>
    <w:rsid w:val="008C09AA"/>
    <w:rsid w:val="008C1641"/>
    <w:rsid w:val="008C1A0C"/>
    <w:rsid w:val="008C3665"/>
    <w:rsid w:val="008C36E1"/>
    <w:rsid w:val="008C372C"/>
    <w:rsid w:val="008C4871"/>
    <w:rsid w:val="008D15E6"/>
    <w:rsid w:val="008D3A62"/>
    <w:rsid w:val="008D6364"/>
    <w:rsid w:val="008E0281"/>
    <w:rsid w:val="008E1D30"/>
    <w:rsid w:val="008E1FCE"/>
    <w:rsid w:val="008E79D7"/>
    <w:rsid w:val="008F0142"/>
    <w:rsid w:val="008F1AC8"/>
    <w:rsid w:val="008F3E1A"/>
    <w:rsid w:val="008F40BA"/>
    <w:rsid w:val="00901945"/>
    <w:rsid w:val="009043CB"/>
    <w:rsid w:val="00904C60"/>
    <w:rsid w:val="009070A8"/>
    <w:rsid w:val="00910B87"/>
    <w:rsid w:val="00915D7D"/>
    <w:rsid w:val="00916151"/>
    <w:rsid w:val="00917532"/>
    <w:rsid w:val="0091795B"/>
    <w:rsid w:val="0092057C"/>
    <w:rsid w:val="0092106E"/>
    <w:rsid w:val="00921078"/>
    <w:rsid w:val="009210E5"/>
    <w:rsid w:val="00927426"/>
    <w:rsid w:val="009301C4"/>
    <w:rsid w:val="00934F3C"/>
    <w:rsid w:val="00937478"/>
    <w:rsid w:val="00937498"/>
    <w:rsid w:val="00937F50"/>
    <w:rsid w:val="00940473"/>
    <w:rsid w:val="009407C7"/>
    <w:rsid w:val="009409AA"/>
    <w:rsid w:val="00941C15"/>
    <w:rsid w:val="0094657D"/>
    <w:rsid w:val="00947085"/>
    <w:rsid w:val="00947F36"/>
    <w:rsid w:val="00950444"/>
    <w:rsid w:val="00951335"/>
    <w:rsid w:val="009535E5"/>
    <w:rsid w:val="00954228"/>
    <w:rsid w:val="0095562B"/>
    <w:rsid w:val="00956972"/>
    <w:rsid w:val="009601D8"/>
    <w:rsid w:val="009609C1"/>
    <w:rsid w:val="00960DDA"/>
    <w:rsid w:val="00962311"/>
    <w:rsid w:val="00967F76"/>
    <w:rsid w:val="00973012"/>
    <w:rsid w:val="00975896"/>
    <w:rsid w:val="009763C0"/>
    <w:rsid w:val="00976D51"/>
    <w:rsid w:val="00977905"/>
    <w:rsid w:val="00980A43"/>
    <w:rsid w:val="00981A78"/>
    <w:rsid w:val="00987AC5"/>
    <w:rsid w:val="00990343"/>
    <w:rsid w:val="009917AB"/>
    <w:rsid w:val="0099307E"/>
    <w:rsid w:val="00993942"/>
    <w:rsid w:val="009A1AF5"/>
    <w:rsid w:val="009A2372"/>
    <w:rsid w:val="009A3330"/>
    <w:rsid w:val="009A6AE3"/>
    <w:rsid w:val="009A6EB4"/>
    <w:rsid w:val="009A7472"/>
    <w:rsid w:val="009B0887"/>
    <w:rsid w:val="009B2557"/>
    <w:rsid w:val="009B5499"/>
    <w:rsid w:val="009B6964"/>
    <w:rsid w:val="009B765A"/>
    <w:rsid w:val="009B7F84"/>
    <w:rsid w:val="009C0DCF"/>
    <w:rsid w:val="009C1C7B"/>
    <w:rsid w:val="009C38B7"/>
    <w:rsid w:val="009D2E46"/>
    <w:rsid w:val="009D46E2"/>
    <w:rsid w:val="009D6AF7"/>
    <w:rsid w:val="009E3708"/>
    <w:rsid w:val="009E3E26"/>
    <w:rsid w:val="009E4A3D"/>
    <w:rsid w:val="009E72B5"/>
    <w:rsid w:val="009F278A"/>
    <w:rsid w:val="00A030EE"/>
    <w:rsid w:val="00A103D6"/>
    <w:rsid w:val="00A11E50"/>
    <w:rsid w:val="00A16875"/>
    <w:rsid w:val="00A174E7"/>
    <w:rsid w:val="00A2357E"/>
    <w:rsid w:val="00A24519"/>
    <w:rsid w:val="00A32376"/>
    <w:rsid w:val="00A32A3B"/>
    <w:rsid w:val="00A331A4"/>
    <w:rsid w:val="00A34E8C"/>
    <w:rsid w:val="00A3589D"/>
    <w:rsid w:val="00A37047"/>
    <w:rsid w:val="00A3711A"/>
    <w:rsid w:val="00A417EE"/>
    <w:rsid w:val="00A44A69"/>
    <w:rsid w:val="00A4698C"/>
    <w:rsid w:val="00A46F6B"/>
    <w:rsid w:val="00A50CD5"/>
    <w:rsid w:val="00A516E7"/>
    <w:rsid w:val="00A51782"/>
    <w:rsid w:val="00A51C43"/>
    <w:rsid w:val="00A52284"/>
    <w:rsid w:val="00A54E41"/>
    <w:rsid w:val="00A555D1"/>
    <w:rsid w:val="00A60971"/>
    <w:rsid w:val="00A61E70"/>
    <w:rsid w:val="00A62B9B"/>
    <w:rsid w:val="00A70B32"/>
    <w:rsid w:val="00A74CB6"/>
    <w:rsid w:val="00A85E7A"/>
    <w:rsid w:val="00A93974"/>
    <w:rsid w:val="00A93AED"/>
    <w:rsid w:val="00A97A9B"/>
    <w:rsid w:val="00AA4DDD"/>
    <w:rsid w:val="00AA5476"/>
    <w:rsid w:val="00AA788C"/>
    <w:rsid w:val="00AA7B87"/>
    <w:rsid w:val="00AB343B"/>
    <w:rsid w:val="00AB4C9B"/>
    <w:rsid w:val="00AC192B"/>
    <w:rsid w:val="00AC7A53"/>
    <w:rsid w:val="00AD3D35"/>
    <w:rsid w:val="00AD3EAD"/>
    <w:rsid w:val="00AE0CE9"/>
    <w:rsid w:val="00AE0F69"/>
    <w:rsid w:val="00AE5B07"/>
    <w:rsid w:val="00AE7B48"/>
    <w:rsid w:val="00AF1A99"/>
    <w:rsid w:val="00AF3742"/>
    <w:rsid w:val="00AF3E14"/>
    <w:rsid w:val="00AF4C4F"/>
    <w:rsid w:val="00AF60C9"/>
    <w:rsid w:val="00B01188"/>
    <w:rsid w:val="00B0380C"/>
    <w:rsid w:val="00B07446"/>
    <w:rsid w:val="00B07ED6"/>
    <w:rsid w:val="00B12D28"/>
    <w:rsid w:val="00B14773"/>
    <w:rsid w:val="00B15F8F"/>
    <w:rsid w:val="00B2398E"/>
    <w:rsid w:val="00B24B68"/>
    <w:rsid w:val="00B25C4E"/>
    <w:rsid w:val="00B304A1"/>
    <w:rsid w:val="00B320D0"/>
    <w:rsid w:val="00B32273"/>
    <w:rsid w:val="00B33258"/>
    <w:rsid w:val="00B333CC"/>
    <w:rsid w:val="00B33905"/>
    <w:rsid w:val="00B362DA"/>
    <w:rsid w:val="00B3766D"/>
    <w:rsid w:val="00B40DAD"/>
    <w:rsid w:val="00B44302"/>
    <w:rsid w:val="00B459A1"/>
    <w:rsid w:val="00B50F87"/>
    <w:rsid w:val="00B51E45"/>
    <w:rsid w:val="00B5434C"/>
    <w:rsid w:val="00B54D68"/>
    <w:rsid w:val="00B568C3"/>
    <w:rsid w:val="00B60367"/>
    <w:rsid w:val="00B62E63"/>
    <w:rsid w:val="00B6325B"/>
    <w:rsid w:val="00B67BB4"/>
    <w:rsid w:val="00B708D0"/>
    <w:rsid w:val="00B723F8"/>
    <w:rsid w:val="00B72B97"/>
    <w:rsid w:val="00B7613B"/>
    <w:rsid w:val="00B77B38"/>
    <w:rsid w:val="00B86CF2"/>
    <w:rsid w:val="00B91CB8"/>
    <w:rsid w:val="00B92AFA"/>
    <w:rsid w:val="00B94C50"/>
    <w:rsid w:val="00B95ACD"/>
    <w:rsid w:val="00BA06FD"/>
    <w:rsid w:val="00BA2F04"/>
    <w:rsid w:val="00BA305F"/>
    <w:rsid w:val="00BA44CC"/>
    <w:rsid w:val="00BA44D7"/>
    <w:rsid w:val="00BA4E83"/>
    <w:rsid w:val="00BB04B5"/>
    <w:rsid w:val="00BB200F"/>
    <w:rsid w:val="00BB3069"/>
    <w:rsid w:val="00BB384A"/>
    <w:rsid w:val="00BC3B65"/>
    <w:rsid w:val="00BC4364"/>
    <w:rsid w:val="00BC53AA"/>
    <w:rsid w:val="00BC7432"/>
    <w:rsid w:val="00BD2964"/>
    <w:rsid w:val="00BD29E4"/>
    <w:rsid w:val="00BD30DA"/>
    <w:rsid w:val="00BD3B1B"/>
    <w:rsid w:val="00BD536D"/>
    <w:rsid w:val="00BD6BC0"/>
    <w:rsid w:val="00BD71D5"/>
    <w:rsid w:val="00BD77E8"/>
    <w:rsid w:val="00BE1BF3"/>
    <w:rsid w:val="00BE63C5"/>
    <w:rsid w:val="00BE6DB3"/>
    <w:rsid w:val="00BE764E"/>
    <w:rsid w:val="00BF0F44"/>
    <w:rsid w:val="00BF1032"/>
    <w:rsid w:val="00BF6A7C"/>
    <w:rsid w:val="00BF7B60"/>
    <w:rsid w:val="00C00396"/>
    <w:rsid w:val="00C004E5"/>
    <w:rsid w:val="00C0217F"/>
    <w:rsid w:val="00C046F9"/>
    <w:rsid w:val="00C052E9"/>
    <w:rsid w:val="00C0731F"/>
    <w:rsid w:val="00C10829"/>
    <w:rsid w:val="00C12798"/>
    <w:rsid w:val="00C14399"/>
    <w:rsid w:val="00C14FD8"/>
    <w:rsid w:val="00C16824"/>
    <w:rsid w:val="00C16DF9"/>
    <w:rsid w:val="00C17917"/>
    <w:rsid w:val="00C203DE"/>
    <w:rsid w:val="00C20A74"/>
    <w:rsid w:val="00C20D3D"/>
    <w:rsid w:val="00C211C7"/>
    <w:rsid w:val="00C2179D"/>
    <w:rsid w:val="00C24373"/>
    <w:rsid w:val="00C24E71"/>
    <w:rsid w:val="00C26CAA"/>
    <w:rsid w:val="00C2712B"/>
    <w:rsid w:val="00C33EAA"/>
    <w:rsid w:val="00C34A86"/>
    <w:rsid w:val="00C34E4D"/>
    <w:rsid w:val="00C37E08"/>
    <w:rsid w:val="00C400E6"/>
    <w:rsid w:val="00C41BAC"/>
    <w:rsid w:val="00C4207B"/>
    <w:rsid w:val="00C42114"/>
    <w:rsid w:val="00C4329C"/>
    <w:rsid w:val="00C4337A"/>
    <w:rsid w:val="00C45C37"/>
    <w:rsid w:val="00C45DB9"/>
    <w:rsid w:val="00C461C5"/>
    <w:rsid w:val="00C4752F"/>
    <w:rsid w:val="00C50907"/>
    <w:rsid w:val="00C50D7F"/>
    <w:rsid w:val="00C53799"/>
    <w:rsid w:val="00C5403C"/>
    <w:rsid w:val="00C54697"/>
    <w:rsid w:val="00C54B0E"/>
    <w:rsid w:val="00C55070"/>
    <w:rsid w:val="00C550E1"/>
    <w:rsid w:val="00C55103"/>
    <w:rsid w:val="00C56020"/>
    <w:rsid w:val="00C564CC"/>
    <w:rsid w:val="00C60222"/>
    <w:rsid w:val="00C61314"/>
    <w:rsid w:val="00C62605"/>
    <w:rsid w:val="00C64019"/>
    <w:rsid w:val="00C649FF"/>
    <w:rsid w:val="00C65867"/>
    <w:rsid w:val="00C77E74"/>
    <w:rsid w:val="00C81C9B"/>
    <w:rsid w:val="00C81F27"/>
    <w:rsid w:val="00C83EA2"/>
    <w:rsid w:val="00C84D4F"/>
    <w:rsid w:val="00C85101"/>
    <w:rsid w:val="00C90E55"/>
    <w:rsid w:val="00C918E0"/>
    <w:rsid w:val="00C93CC3"/>
    <w:rsid w:val="00C93FC6"/>
    <w:rsid w:val="00C9440C"/>
    <w:rsid w:val="00C948B8"/>
    <w:rsid w:val="00CA10DD"/>
    <w:rsid w:val="00CA200F"/>
    <w:rsid w:val="00CA57B0"/>
    <w:rsid w:val="00CB1A3C"/>
    <w:rsid w:val="00CB3C47"/>
    <w:rsid w:val="00CB5531"/>
    <w:rsid w:val="00CC1395"/>
    <w:rsid w:val="00CC1E5B"/>
    <w:rsid w:val="00CC5563"/>
    <w:rsid w:val="00CC5A88"/>
    <w:rsid w:val="00CC652A"/>
    <w:rsid w:val="00CD114B"/>
    <w:rsid w:val="00CD12E2"/>
    <w:rsid w:val="00CD137E"/>
    <w:rsid w:val="00CD1534"/>
    <w:rsid w:val="00CD1853"/>
    <w:rsid w:val="00CD3797"/>
    <w:rsid w:val="00CD7C74"/>
    <w:rsid w:val="00CE2231"/>
    <w:rsid w:val="00CE2C23"/>
    <w:rsid w:val="00CE4711"/>
    <w:rsid w:val="00CE4967"/>
    <w:rsid w:val="00CE4F34"/>
    <w:rsid w:val="00CE538F"/>
    <w:rsid w:val="00CE6656"/>
    <w:rsid w:val="00CE7929"/>
    <w:rsid w:val="00CF1BE4"/>
    <w:rsid w:val="00CF328A"/>
    <w:rsid w:val="00CF580F"/>
    <w:rsid w:val="00CF5C95"/>
    <w:rsid w:val="00CF71F8"/>
    <w:rsid w:val="00D01B97"/>
    <w:rsid w:val="00D02696"/>
    <w:rsid w:val="00D06ADF"/>
    <w:rsid w:val="00D07708"/>
    <w:rsid w:val="00D12A63"/>
    <w:rsid w:val="00D17EAF"/>
    <w:rsid w:val="00D21B3A"/>
    <w:rsid w:val="00D24FE5"/>
    <w:rsid w:val="00D25FB9"/>
    <w:rsid w:val="00D303B3"/>
    <w:rsid w:val="00D366ED"/>
    <w:rsid w:val="00D42B78"/>
    <w:rsid w:val="00D43AAD"/>
    <w:rsid w:val="00D45D68"/>
    <w:rsid w:val="00D5084E"/>
    <w:rsid w:val="00D523C6"/>
    <w:rsid w:val="00D5581C"/>
    <w:rsid w:val="00D564F0"/>
    <w:rsid w:val="00D6269B"/>
    <w:rsid w:val="00D66BCD"/>
    <w:rsid w:val="00D725B2"/>
    <w:rsid w:val="00D72FA0"/>
    <w:rsid w:val="00D76F3A"/>
    <w:rsid w:val="00D775E7"/>
    <w:rsid w:val="00D77703"/>
    <w:rsid w:val="00D8433F"/>
    <w:rsid w:val="00D85786"/>
    <w:rsid w:val="00D86EC3"/>
    <w:rsid w:val="00D87E3C"/>
    <w:rsid w:val="00D913FB"/>
    <w:rsid w:val="00D91A7B"/>
    <w:rsid w:val="00D925C9"/>
    <w:rsid w:val="00D92FAA"/>
    <w:rsid w:val="00D950C2"/>
    <w:rsid w:val="00D959D7"/>
    <w:rsid w:val="00D970C3"/>
    <w:rsid w:val="00DA07E7"/>
    <w:rsid w:val="00DA12D4"/>
    <w:rsid w:val="00DA5869"/>
    <w:rsid w:val="00DA5C52"/>
    <w:rsid w:val="00DA6C1B"/>
    <w:rsid w:val="00DA6FAA"/>
    <w:rsid w:val="00DA71BA"/>
    <w:rsid w:val="00DA720B"/>
    <w:rsid w:val="00DB01B2"/>
    <w:rsid w:val="00DB16D7"/>
    <w:rsid w:val="00DB354B"/>
    <w:rsid w:val="00DB3DEB"/>
    <w:rsid w:val="00DB4E1F"/>
    <w:rsid w:val="00DC5913"/>
    <w:rsid w:val="00DC7E95"/>
    <w:rsid w:val="00DD313F"/>
    <w:rsid w:val="00DD4556"/>
    <w:rsid w:val="00DD46BF"/>
    <w:rsid w:val="00DE3B27"/>
    <w:rsid w:val="00DE5F28"/>
    <w:rsid w:val="00DF077B"/>
    <w:rsid w:val="00DF3E1D"/>
    <w:rsid w:val="00E0688F"/>
    <w:rsid w:val="00E12D70"/>
    <w:rsid w:val="00E13301"/>
    <w:rsid w:val="00E13D03"/>
    <w:rsid w:val="00E1454C"/>
    <w:rsid w:val="00E14EE4"/>
    <w:rsid w:val="00E163C1"/>
    <w:rsid w:val="00E16C25"/>
    <w:rsid w:val="00E2353E"/>
    <w:rsid w:val="00E25C6A"/>
    <w:rsid w:val="00E30C77"/>
    <w:rsid w:val="00E31EBE"/>
    <w:rsid w:val="00E31FD0"/>
    <w:rsid w:val="00E3385A"/>
    <w:rsid w:val="00E348FD"/>
    <w:rsid w:val="00E35544"/>
    <w:rsid w:val="00E41A59"/>
    <w:rsid w:val="00E454AB"/>
    <w:rsid w:val="00E46DF8"/>
    <w:rsid w:val="00E5115A"/>
    <w:rsid w:val="00E52DB7"/>
    <w:rsid w:val="00E53120"/>
    <w:rsid w:val="00E55891"/>
    <w:rsid w:val="00E60DD5"/>
    <w:rsid w:val="00E67886"/>
    <w:rsid w:val="00E70E60"/>
    <w:rsid w:val="00E729E9"/>
    <w:rsid w:val="00E73D28"/>
    <w:rsid w:val="00E7484A"/>
    <w:rsid w:val="00E77649"/>
    <w:rsid w:val="00E80435"/>
    <w:rsid w:val="00E80B5A"/>
    <w:rsid w:val="00E815B8"/>
    <w:rsid w:val="00E82365"/>
    <w:rsid w:val="00E832A3"/>
    <w:rsid w:val="00E84A36"/>
    <w:rsid w:val="00E85983"/>
    <w:rsid w:val="00E9188C"/>
    <w:rsid w:val="00E94EBF"/>
    <w:rsid w:val="00EA1109"/>
    <w:rsid w:val="00EA1C2D"/>
    <w:rsid w:val="00EA292D"/>
    <w:rsid w:val="00EA2E2C"/>
    <w:rsid w:val="00EA48D7"/>
    <w:rsid w:val="00EA6E2E"/>
    <w:rsid w:val="00EA7BD8"/>
    <w:rsid w:val="00EB34B5"/>
    <w:rsid w:val="00EB6D29"/>
    <w:rsid w:val="00EC0674"/>
    <w:rsid w:val="00EC2081"/>
    <w:rsid w:val="00EC2DE9"/>
    <w:rsid w:val="00EC41CF"/>
    <w:rsid w:val="00EC4242"/>
    <w:rsid w:val="00EC6890"/>
    <w:rsid w:val="00ED336A"/>
    <w:rsid w:val="00ED33F5"/>
    <w:rsid w:val="00ED3D45"/>
    <w:rsid w:val="00ED4577"/>
    <w:rsid w:val="00ED4E05"/>
    <w:rsid w:val="00ED72FA"/>
    <w:rsid w:val="00EE0009"/>
    <w:rsid w:val="00EE0DFB"/>
    <w:rsid w:val="00EE15AF"/>
    <w:rsid w:val="00EE208C"/>
    <w:rsid w:val="00EE288B"/>
    <w:rsid w:val="00EE444D"/>
    <w:rsid w:val="00EE4959"/>
    <w:rsid w:val="00EE4A75"/>
    <w:rsid w:val="00EE576D"/>
    <w:rsid w:val="00EE6B22"/>
    <w:rsid w:val="00EF082A"/>
    <w:rsid w:val="00EF1CC4"/>
    <w:rsid w:val="00EF2606"/>
    <w:rsid w:val="00EF3737"/>
    <w:rsid w:val="00EF4789"/>
    <w:rsid w:val="00EF7A3F"/>
    <w:rsid w:val="00F025D8"/>
    <w:rsid w:val="00F04860"/>
    <w:rsid w:val="00F068C4"/>
    <w:rsid w:val="00F076BC"/>
    <w:rsid w:val="00F105F1"/>
    <w:rsid w:val="00F11683"/>
    <w:rsid w:val="00F1425F"/>
    <w:rsid w:val="00F23982"/>
    <w:rsid w:val="00F250C8"/>
    <w:rsid w:val="00F270AF"/>
    <w:rsid w:val="00F278AD"/>
    <w:rsid w:val="00F30234"/>
    <w:rsid w:val="00F36AD8"/>
    <w:rsid w:val="00F372FD"/>
    <w:rsid w:val="00F40FC1"/>
    <w:rsid w:val="00F422DC"/>
    <w:rsid w:val="00F44516"/>
    <w:rsid w:val="00F454F1"/>
    <w:rsid w:val="00F46242"/>
    <w:rsid w:val="00F46DA3"/>
    <w:rsid w:val="00F46E18"/>
    <w:rsid w:val="00F4718B"/>
    <w:rsid w:val="00F501B9"/>
    <w:rsid w:val="00F50BEA"/>
    <w:rsid w:val="00F538F9"/>
    <w:rsid w:val="00F54E17"/>
    <w:rsid w:val="00F553D1"/>
    <w:rsid w:val="00F55F83"/>
    <w:rsid w:val="00F62936"/>
    <w:rsid w:val="00F65BD9"/>
    <w:rsid w:val="00F6688C"/>
    <w:rsid w:val="00F67E51"/>
    <w:rsid w:val="00F72646"/>
    <w:rsid w:val="00F72835"/>
    <w:rsid w:val="00F72EF7"/>
    <w:rsid w:val="00F73235"/>
    <w:rsid w:val="00F76D9F"/>
    <w:rsid w:val="00F77608"/>
    <w:rsid w:val="00F77AFF"/>
    <w:rsid w:val="00F81860"/>
    <w:rsid w:val="00F83923"/>
    <w:rsid w:val="00F851B4"/>
    <w:rsid w:val="00F86553"/>
    <w:rsid w:val="00F868A4"/>
    <w:rsid w:val="00F91015"/>
    <w:rsid w:val="00F9282C"/>
    <w:rsid w:val="00F93E18"/>
    <w:rsid w:val="00FA05CC"/>
    <w:rsid w:val="00FA1A82"/>
    <w:rsid w:val="00FA5F3B"/>
    <w:rsid w:val="00FA6FBE"/>
    <w:rsid w:val="00FA72C3"/>
    <w:rsid w:val="00FB08A3"/>
    <w:rsid w:val="00FB17F1"/>
    <w:rsid w:val="00FB211B"/>
    <w:rsid w:val="00FC095B"/>
    <w:rsid w:val="00FC1FC2"/>
    <w:rsid w:val="00FC2848"/>
    <w:rsid w:val="00FC41EE"/>
    <w:rsid w:val="00FC4502"/>
    <w:rsid w:val="00FC6484"/>
    <w:rsid w:val="00FC6D25"/>
    <w:rsid w:val="00FC6FAE"/>
    <w:rsid w:val="00FD048B"/>
    <w:rsid w:val="00FD3862"/>
    <w:rsid w:val="00FD3C8E"/>
    <w:rsid w:val="00FD4712"/>
    <w:rsid w:val="00FD7A1D"/>
    <w:rsid w:val="00FE38BC"/>
    <w:rsid w:val="00FE41D1"/>
    <w:rsid w:val="00FE7D16"/>
    <w:rsid w:val="00FF271E"/>
    <w:rsid w:val="00FF44E5"/>
    <w:rsid w:val="00FF4ABB"/>
    <w:rsid w:val="00FF6F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B506"/>
  <w15:chartTrackingRefBased/>
  <w15:docId w15:val="{CAE3B0D5-AD39-43E1-A379-294A3DEE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F27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5DB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D66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5DB9"/>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45DB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45DB9"/>
    <w:rPr>
      <w:b/>
      <w:bCs/>
    </w:rPr>
  </w:style>
  <w:style w:type="character" w:customStyle="1" w:styleId="citation-105">
    <w:name w:val="citation-105"/>
    <w:basedOn w:val="DefaultParagraphFont"/>
    <w:rsid w:val="00C400E6"/>
  </w:style>
  <w:style w:type="character" w:customStyle="1" w:styleId="citation-104">
    <w:name w:val="citation-104"/>
    <w:basedOn w:val="DefaultParagraphFont"/>
    <w:rsid w:val="00C400E6"/>
  </w:style>
  <w:style w:type="character" w:customStyle="1" w:styleId="citation-103">
    <w:name w:val="citation-103"/>
    <w:basedOn w:val="DefaultParagraphFont"/>
    <w:rsid w:val="00C400E6"/>
  </w:style>
  <w:style w:type="character" w:customStyle="1" w:styleId="citation-102">
    <w:name w:val="citation-102"/>
    <w:basedOn w:val="DefaultParagraphFont"/>
    <w:rsid w:val="00C400E6"/>
  </w:style>
  <w:style w:type="character" w:customStyle="1" w:styleId="citation-101">
    <w:name w:val="citation-101"/>
    <w:basedOn w:val="DefaultParagraphFont"/>
    <w:rsid w:val="00C400E6"/>
  </w:style>
  <w:style w:type="character" w:customStyle="1" w:styleId="citation-100">
    <w:name w:val="citation-100"/>
    <w:basedOn w:val="DefaultParagraphFont"/>
    <w:rsid w:val="00C400E6"/>
  </w:style>
  <w:style w:type="character" w:customStyle="1" w:styleId="citation-99">
    <w:name w:val="citation-99"/>
    <w:basedOn w:val="DefaultParagraphFont"/>
    <w:rsid w:val="00C400E6"/>
  </w:style>
  <w:style w:type="character" w:customStyle="1" w:styleId="citation-98">
    <w:name w:val="citation-98"/>
    <w:basedOn w:val="DefaultParagraphFont"/>
    <w:rsid w:val="00C400E6"/>
  </w:style>
  <w:style w:type="character" w:customStyle="1" w:styleId="citation-97">
    <w:name w:val="citation-97"/>
    <w:basedOn w:val="DefaultParagraphFont"/>
    <w:rsid w:val="00C400E6"/>
  </w:style>
  <w:style w:type="character" w:customStyle="1" w:styleId="citation-96">
    <w:name w:val="citation-96"/>
    <w:basedOn w:val="DefaultParagraphFont"/>
    <w:rsid w:val="00C400E6"/>
  </w:style>
  <w:style w:type="character" w:customStyle="1" w:styleId="citation-95">
    <w:name w:val="citation-95"/>
    <w:basedOn w:val="DefaultParagraphFont"/>
    <w:rsid w:val="00C400E6"/>
  </w:style>
  <w:style w:type="character" w:customStyle="1" w:styleId="citation-94">
    <w:name w:val="citation-94"/>
    <w:basedOn w:val="DefaultParagraphFont"/>
    <w:rsid w:val="00C400E6"/>
  </w:style>
  <w:style w:type="character" w:customStyle="1" w:styleId="citation-93">
    <w:name w:val="citation-93"/>
    <w:basedOn w:val="DefaultParagraphFont"/>
    <w:rsid w:val="00DA5869"/>
  </w:style>
  <w:style w:type="character" w:customStyle="1" w:styleId="citation-92">
    <w:name w:val="citation-92"/>
    <w:basedOn w:val="DefaultParagraphFont"/>
    <w:rsid w:val="00DA5869"/>
  </w:style>
  <w:style w:type="character" w:customStyle="1" w:styleId="citation-91">
    <w:name w:val="citation-91"/>
    <w:basedOn w:val="DefaultParagraphFont"/>
    <w:rsid w:val="003E0E1B"/>
  </w:style>
  <w:style w:type="character" w:customStyle="1" w:styleId="citation-90">
    <w:name w:val="citation-90"/>
    <w:basedOn w:val="DefaultParagraphFont"/>
    <w:rsid w:val="003E0E1B"/>
  </w:style>
  <w:style w:type="character" w:customStyle="1" w:styleId="Heading4Char">
    <w:name w:val="Heading 4 Char"/>
    <w:basedOn w:val="DefaultParagraphFont"/>
    <w:link w:val="Heading4"/>
    <w:uiPriority w:val="9"/>
    <w:semiHidden/>
    <w:rsid w:val="007D66DB"/>
    <w:rPr>
      <w:rFonts w:asciiTheme="majorHAnsi" w:eastAsiaTheme="majorEastAsia" w:hAnsiTheme="majorHAnsi" w:cstheme="majorBidi"/>
      <w:i/>
      <w:iCs/>
      <w:color w:val="2E74B5" w:themeColor="accent1" w:themeShade="BF"/>
    </w:rPr>
  </w:style>
  <w:style w:type="paragraph" w:styleId="ListParagraph">
    <w:name w:val="List Paragraph"/>
    <w:basedOn w:val="Normal"/>
    <w:qFormat/>
    <w:rsid w:val="00D92FAA"/>
    <w:pPr>
      <w:ind w:left="720"/>
      <w:contextualSpacing/>
    </w:pPr>
  </w:style>
  <w:style w:type="paragraph" w:customStyle="1" w:styleId="Default">
    <w:name w:val="Default"/>
    <w:rsid w:val="00E31FD0"/>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E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FD0"/>
  </w:style>
  <w:style w:type="paragraph" w:styleId="Footer">
    <w:name w:val="footer"/>
    <w:basedOn w:val="Normal"/>
    <w:link w:val="FooterChar"/>
    <w:uiPriority w:val="99"/>
    <w:unhideWhenUsed/>
    <w:rsid w:val="00E31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FD0"/>
  </w:style>
  <w:style w:type="character" w:customStyle="1" w:styleId="Heading1Char">
    <w:name w:val="Heading 1 Char"/>
    <w:basedOn w:val="DefaultParagraphFont"/>
    <w:link w:val="Heading1"/>
    <w:uiPriority w:val="9"/>
    <w:rsid w:val="009F27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F278A"/>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F278A"/>
    <w:rPr>
      <w:i/>
      <w:iCs/>
    </w:rPr>
  </w:style>
  <w:style w:type="character" w:customStyle="1" w:styleId="citation-67">
    <w:name w:val="citation-67"/>
    <w:basedOn w:val="DefaultParagraphFont"/>
    <w:rsid w:val="000E51B5"/>
  </w:style>
  <w:style w:type="character" w:customStyle="1" w:styleId="citation-66">
    <w:name w:val="citation-66"/>
    <w:basedOn w:val="DefaultParagraphFont"/>
    <w:rsid w:val="000E51B5"/>
  </w:style>
  <w:style w:type="character" w:customStyle="1" w:styleId="citation-65">
    <w:name w:val="citation-65"/>
    <w:basedOn w:val="DefaultParagraphFont"/>
    <w:rsid w:val="000E51B5"/>
  </w:style>
  <w:style w:type="character" w:customStyle="1" w:styleId="citation-64">
    <w:name w:val="citation-64"/>
    <w:basedOn w:val="DefaultParagraphFont"/>
    <w:rsid w:val="000E51B5"/>
  </w:style>
  <w:style w:type="character" w:customStyle="1" w:styleId="citation-63">
    <w:name w:val="citation-63"/>
    <w:basedOn w:val="DefaultParagraphFont"/>
    <w:rsid w:val="000E51B5"/>
  </w:style>
  <w:style w:type="character" w:customStyle="1" w:styleId="citation-62">
    <w:name w:val="citation-62"/>
    <w:basedOn w:val="DefaultParagraphFont"/>
    <w:rsid w:val="000E51B5"/>
  </w:style>
  <w:style w:type="character" w:customStyle="1" w:styleId="citation-61">
    <w:name w:val="citation-61"/>
    <w:basedOn w:val="DefaultParagraphFont"/>
    <w:rsid w:val="000E51B5"/>
  </w:style>
  <w:style w:type="character" w:customStyle="1" w:styleId="citation-60">
    <w:name w:val="citation-60"/>
    <w:basedOn w:val="DefaultParagraphFont"/>
    <w:rsid w:val="000E51B5"/>
  </w:style>
  <w:style w:type="character" w:customStyle="1" w:styleId="citation-59">
    <w:name w:val="citation-59"/>
    <w:basedOn w:val="DefaultParagraphFont"/>
    <w:rsid w:val="000E51B5"/>
  </w:style>
  <w:style w:type="character" w:customStyle="1" w:styleId="whitespace-normal">
    <w:name w:val="whitespace-normal"/>
    <w:basedOn w:val="DefaultParagraphFont"/>
    <w:rsid w:val="002723EC"/>
  </w:style>
  <w:style w:type="paragraph" w:styleId="z-TopofForm">
    <w:name w:val="HTML Top of Form"/>
    <w:basedOn w:val="Normal"/>
    <w:next w:val="Normal"/>
    <w:link w:val="z-TopofFormChar"/>
    <w:hidden/>
    <w:uiPriority w:val="99"/>
    <w:semiHidden/>
    <w:unhideWhenUsed/>
    <w:rsid w:val="006970A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970AD"/>
    <w:rPr>
      <w:rFonts w:ascii="Arial" w:eastAsia="Times New Roman" w:hAnsi="Arial" w:cs="Arial"/>
      <w:vanish/>
      <w:sz w:val="16"/>
      <w:szCs w:val="16"/>
      <w:lang w:eastAsia="en-IN"/>
    </w:rPr>
  </w:style>
  <w:style w:type="paragraph" w:customStyle="1" w:styleId="placeholder">
    <w:name w:val="placeholder"/>
    <w:basedOn w:val="Normal"/>
    <w:rsid w:val="006970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6970A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970AD"/>
    <w:rPr>
      <w:rFonts w:ascii="Arial" w:eastAsia="Times New Roman" w:hAnsi="Arial" w:cs="Arial"/>
      <w:vanish/>
      <w:sz w:val="16"/>
      <w:szCs w:val="16"/>
      <w:lang w:eastAsia="en-IN"/>
    </w:rPr>
  </w:style>
  <w:style w:type="character" w:customStyle="1" w:styleId="citation-33">
    <w:name w:val="citation-33"/>
    <w:basedOn w:val="DefaultParagraphFont"/>
    <w:rsid w:val="005C18F7"/>
  </w:style>
  <w:style w:type="character" w:customStyle="1" w:styleId="citation-32">
    <w:name w:val="citation-32"/>
    <w:basedOn w:val="DefaultParagraphFont"/>
    <w:rsid w:val="005C18F7"/>
  </w:style>
  <w:style w:type="character" w:customStyle="1" w:styleId="citation-31">
    <w:name w:val="citation-31"/>
    <w:basedOn w:val="DefaultParagraphFont"/>
    <w:rsid w:val="005C18F7"/>
  </w:style>
  <w:style w:type="character" w:customStyle="1" w:styleId="citation-30">
    <w:name w:val="citation-30"/>
    <w:basedOn w:val="DefaultParagraphFont"/>
    <w:rsid w:val="005C18F7"/>
  </w:style>
  <w:style w:type="character" w:customStyle="1" w:styleId="citation-29">
    <w:name w:val="citation-29"/>
    <w:basedOn w:val="DefaultParagraphFont"/>
    <w:rsid w:val="005C18F7"/>
  </w:style>
  <w:style w:type="character" w:customStyle="1" w:styleId="citation-28">
    <w:name w:val="citation-28"/>
    <w:basedOn w:val="DefaultParagraphFont"/>
    <w:rsid w:val="005C18F7"/>
  </w:style>
  <w:style w:type="character" w:customStyle="1" w:styleId="citation-27">
    <w:name w:val="citation-27"/>
    <w:basedOn w:val="DefaultParagraphFont"/>
    <w:rsid w:val="005C18F7"/>
  </w:style>
  <w:style w:type="character" w:customStyle="1" w:styleId="citation-26">
    <w:name w:val="citation-26"/>
    <w:basedOn w:val="DefaultParagraphFont"/>
    <w:rsid w:val="005C18F7"/>
  </w:style>
  <w:style w:type="character" w:customStyle="1" w:styleId="citation-25">
    <w:name w:val="citation-25"/>
    <w:basedOn w:val="DefaultParagraphFont"/>
    <w:rsid w:val="005C18F7"/>
  </w:style>
  <w:style w:type="character" w:customStyle="1" w:styleId="citation-24">
    <w:name w:val="citation-24"/>
    <w:basedOn w:val="DefaultParagraphFont"/>
    <w:rsid w:val="005C18F7"/>
  </w:style>
  <w:style w:type="character" w:customStyle="1" w:styleId="citation-23">
    <w:name w:val="citation-23"/>
    <w:basedOn w:val="DefaultParagraphFont"/>
    <w:rsid w:val="005C18F7"/>
  </w:style>
  <w:style w:type="character" w:customStyle="1" w:styleId="citation-22">
    <w:name w:val="citation-22"/>
    <w:basedOn w:val="DefaultParagraphFont"/>
    <w:rsid w:val="005C18F7"/>
  </w:style>
  <w:style w:type="character" w:customStyle="1" w:styleId="citation-21">
    <w:name w:val="citation-21"/>
    <w:basedOn w:val="DefaultParagraphFont"/>
    <w:rsid w:val="005C18F7"/>
  </w:style>
  <w:style w:type="character" w:customStyle="1" w:styleId="citation-20">
    <w:name w:val="citation-20"/>
    <w:basedOn w:val="DefaultParagraphFont"/>
    <w:rsid w:val="005C18F7"/>
  </w:style>
  <w:style w:type="character" w:customStyle="1" w:styleId="citation-19">
    <w:name w:val="citation-19"/>
    <w:basedOn w:val="DefaultParagraphFont"/>
    <w:rsid w:val="005C18F7"/>
  </w:style>
  <w:style w:type="character" w:customStyle="1" w:styleId="citation-18">
    <w:name w:val="citation-18"/>
    <w:basedOn w:val="DefaultParagraphFont"/>
    <w:rsid w:val="005C18F7"/>
  </w:style>
  <w:style w:type="character" w:customStyle="1" w:styleId="citation-17">
    <w:name w:val="citation-17"/>
    <w:basedOn w:val="DefaultParagraphFont"/>
    <w:rsid w:val="005C18F7"/>
  </w:style>
  <w:style w:type="paragraph" w:customStyle="1" w:styleId="isselectedend">
    <w:name w:val="isselectedend"/>
    <w:basedOn w:val="Normal"/>
    <w:rsid w:val="00DA5C5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65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48000703">
      <w:bodyDiv w:val="1"/>
      <w:marLeft w:val="0"/>
      <w:marRight w:val="0"/>
      <w:marTop w:val="0"/>
      <w:marBottom w:val="0"/>
      <w:divBdr>
        <w:top w:val="none" w:sz="0" w:space="0" w:color="auto"/>
        <w:left w:val="none" w:sz="0" w:space="0" w:color="auto"/>
        <w:bottom w:val="none" w:sz="0" w:space="0" w:color="auto"/>
        <w:right w:val="none" w:sz="0" w:space="0" w:color="auto"/>
      </w:divBdr>
    </w:div>
    <w:div w:id="61145856">
      <w:bodyDiv w:val="1"/>
      <w:marLeft w:val="0"/>
      <w:marRight w:val="0"/>
      <w:marTop w:val="0"/>
      <w:marBottom w:val="0"/>
      <w:divBdr>
        <w:top w:val="none" w:sz="0" w:space="0" w:color="auto"/>
        <w:left w:val="none" w:sz="0" w:space="0" w:color="auto"/>
        <w:bottom w:val="none" w:sz="0" w:space="0" w:color="auto"/>
        <w:right w:val="none" w:sz="0" w:space="0" w:color="auto"/>
      </w:divBdr>
    </w:div>
    <w:div w:id="66616040">
      <w:bodyDiv w:val="1"/>
      <w:marLeft w:val="0"/>
      <w:marRight w:val="0"/>
      <w:marTop w:val="0"/>
      <w:marBottom w:val="0"/>
      <w:divBdr>
        <w:top w:val="none" w:sz="0" w:space="0" w:color="auto"/>
        <w:left w:val="none" w:sz="0" w:space="0" w:color="auto"/>
        <w:bottom w:val="none" w:sz="0" w:space="0" w:color="auto"/>
        <w:right w:val="none" w:sz="0" w:space="0" w:color="auto"/>
      </w:divBdr>
    </w:div>
    <w:div w:id="148248988">
      <w:bodyDiv w:val="1"/>
      <w:marLeft w:val="0"/>
      <w:marRight w:val="0"/>
      <w:marTop w:val="0"/>
      <w:marBottom w:val="0"/>
      <w:divBdr>
        <w:top w:val="none" w:sz="0" w:space="0" w:color="auto"/>
        <w:left w:val="none" w:sz="0" w:space="0" w:color="auto"/>
        <w:bottom w:val="none" w:sz="0" w:space="0" w:color="auto"/>
        <w:right w:val="none" w:sz="0" w:space="0" w:color="auto"/>
      </w:divBdr>
    </w:div>
    <w:div w:id="164788237">
      <w:bodyDiv w:val="1"/>
      <w:marLeft w:val="0"/>
      <w:marRight w:val="0"/>
      <w:marTop w:val="0"/>
      <w:marBottom w:val="0"/>
      <w:divBdr>
        <w:top w:val="none" w:sz="0" w:space="0" w:color="auto"/>
        <w:left w:val="none" w:sz="0" w:space="0" w:color="auto"/>
        <w:bottom w:val="none" w:sz="0" w:space="0" w:color="auto"/>
        <w:right w:val="none" w:sz="0" w:space="0" w:color="auto"/>
      </w:divBdr>
    </w:div>
    <w:div w:id="194117796">
      <w:bodyDiv w:val="1"/>
      <w:marLeft w:val="0"/>
      <w:marRight w:val="0"/>
      <w:marTop w:val="0"/>
      <w:marBottom w:val="0"/>
      <w:divBdr>
        <w:top w:val="none" w:sz="0" w:space="0" w:color="auto"/>
        <w:left w:val="none" w:sz="0" w:space="0" w:color="auto"/>
        <w:bottom w:val="none" w:sz="0" w:space="0" w:color="auto"/>
        <w:right w:val="none" w:sz="0" w:space="0" w:color="auto"/>
      </w:divBdr>
    </w:div>
    <w:div w:id="206919467">
      <w:bodyDiv w:val="1"/>
      <w:marLeft w:val="0"/>
      <w:marRight w:val="0"/>
      <w:marTop w:val="0"/>
      <w:marBottom w:val="0"/>
      <w:divBdr>
        <w:top w:val="none" w:sz="0" w:space="0" w:color="auto"/>
        <w:left w:val="none" w:sz="0" w:space="0" w:color="auto"/>
        <w:bottom w:val="none" w:sz="0" w:space="0" w:color="auto"/>
        <w:right w:val="none" w:sz="0" w:space="0" w:color="auto"/>
      </w:divBdr>
    </w:div>
    <w:div w:id="212619571">
      <w:bodyDiv w:val="1"/>
      <w:marLeft w:val="0"/>
      <w:marRight w:val="0"/>
      <w:marTop w:val="0"/>
      <w:marBottom w:val="0"/>
      <w:divBdr>
        <w:top w:val="none" w:sz="0" w:space="0" w:color="auto"/>
        <w:left w:val="none" w:sz="0" w:space="0" w:color="auto"/>
        <w:bottom w:val="none" w:sz="0" w:space="0" w:color="auto"/>
        <w:right w:val="none" w:sz="0" w:space="0" w:color="auto"/>
      </w:divBdr>
    </w:div>
    <w:div w:id="231433003">
      <w:bodyDiv w:val="1"/>
      <w:marLeft w:val="0"/>
      <w:marRight w:val="0"/>
      <w:marTop w:val="0"/>
      <w:marBottom w:val="0"/>
      <w:divBdr>
        <w:top w:val="none" w:sz="0" w:space="0" w:color="auto"/>
        <w:left w:val="none" w:sz="0" w:space="0" w:color="auto"/>
        <w:bottom w:val="none" w:sz="0" w:space="0" w:color="auto"/>
        <w:right w:val="none" w:sz="0" w:space="0" w:color="auto"/>
      </w:divBdr>
    </w:div>
    <w:div w:id="233862277">
      <w:bodyDiv w:val="1"/>
      <w:marLeft w:val="0"/>
      <w:marRight w:val="0"/>
      <w:marTop w:val="0"/>
      <w:marBottom w:val="0"/>
      <w:divBdr>
        <w:top w:val="none" w:sz="0" w:space="0" w:color="auto"/>
        <w:left w:val="none" w:sz="0" w:space="0" w:color="auto"/>
        <w:bottom w:val="none" w:sz="0" w:space="0" w:color="auto"/>
        <w:right w:val="none" w:sz="0" w:space="0" w:color="auto"/>
      </w:divBdr>
    </w:div>
    <w:div w:id="333727575">
      <w:bodyDiv w:val="1"/>
      <w:marLeft w:val="0"/>
      <w:marRight w:val="0"/>
      <w:marTop w:val="0"/>
      <w:marBottom w:val="0"/>
      <w:divBdr>
        <w:top w:val="none" w:sz="0" w:space="0" w:color="auto"/>
        <w:left w:val="none" w:sz="0" w:space="0" w:color="auto"/>
        <w:bottom w:val="none" w:sz="0" w:space="0" w:color="auto"/>
        <w:right w:val="none" w:sz="0" w:space="0" w:color="auto"/>
      </w:divBdr>
    </w:div>
    <w:div w:id="341706200">
      <w:bodyDiv w:val="1"/>
      <w:marLeft w:val="0"/>
      <w:marRight w:val="0"/>
      <w:marTop w:val="0"/>
      <w:marBottom w:val="0"/>
      <w:divBdr>
        <w:top w:val="none" w:sz="0" w:space="0" w:color="auto"/>
        <w:left w:val="none" w:sz="0" w:space="0" w:color="auto"/>
        <w:bottom w:val="none" w:sz="0" w:space="0" w:color="auto"/>
        <w:right w:val="none" w:sz="0" w:space="0" w:color="auto"/>
      </w:divBdr>
    </w:div>
    <w:div w:id="359360691">
      <w:bodyDiv w:val="1"/>
      <w:marLeft w:val="0"/>
      <w:marRight w:val="0"/>
      <w:marTop w:val="0"/>
      <w:marBottom w:val="0"/>
      <w:divBdr>
        <w:top w:val="none" w:sz="0" w:space="0" w:color="auto"/>
        <w:left w:val="none" w:sz="0" w:space="0" w:color="auto"/>
        <w:bottom w:val="none" w:sz="0" w:space="0" w:color="auto"/>
        <w:right w:val="none" w:sz="0" w:space="0" w:color="auto"/>
      </w:divBdr>
    </w:div>
    <w:div w:id="379131805">
      <w:bodyDiv w:val="1"/>
      <w:marLeft w:val="0"/>
      <w:marRight w:val="0"/>
      <w:marTop w:val="0"/>
      <w:marBottom w:val="0"/>
      <w:divBdr>
        <w:top w:val="none" w:sz="0" w:space="0" w:color="auto"/>
        <w:left w:val="none" w:sz="0" w:space="0" w:color="auto"/>
        <w:bottom w:val="none" w:sz="0" w:space="0" w:color="auto"/>
        <w:right w:val="none" w:sz="0" w:space="0" w:color="auto"/>
      </w:divBdr>
    </w:div>
    <w:div w:id="413356157">
      <w:bodyDiv w:val="1"/>
      <w:marLeft w:val="0"/>
      <w:marRight w:val="0"/>
      <w:marTop w:val="0"/>
      <w:marBottom w:val="0"/>
      <w:divBdr>
        <w:top w:val="none" w:sz="0" w:space="0" w:color="auto"/>
        <w:left w:val="none" w:sz="0" w:space="0" w:color="auto"/>
        <w:bottom w:val="none" w:sz="0" w:space="0" w:color="auto"/>
        <w:right w:val="none" w:sz="0" w:space="0" w:color="auto"/>
      </w:divBdr>
    </w:div>
    <w:div w:id="464080290">
      <w:bodyDiv w:val="1"/>
      <w:marLeft w:val="0"/>
      <w:marRight w:val="0"/>
      <w:marTop w:val="0"/>
      <w:marBottom w:val="0"/>
      <w:divBdr>
        <w:top w:val="none" w:sz="0" w:space="0" w:color="auto"/>
        <w:left w:val="none" w:sz="0" w:space="0" w:color="auto"/>
        <w:bottom w:val="none" w:sz="0" w:space="0" w:color="auto"/>
        <w:right w:val="none" w:sz="0" w:space="0" w:color="auto"/>
      </w:divBdr>
    </w:div>
    <w:div w:id="515387533">
      <w:bodyDiv w:val="1"/>
      <w:marLeft w:val="0"/>
      <w:marRight w:val="0"/>
      <w:marTop w:val="0"/>
      <w:marBottom w:val="0"/>
      <w:divBdr>
        <w:top w:val="none" w:sz="0" w:space="0" w:color="auto"/>
        <w:left w:val="none" w:sz="0" w:space="0" w:color="auto"/>
        <w:bottom w:val="none" w:sz="0" w:space="0" w:color="auto"/>
        <w:right w:val="none" w:sz="0" w:space="0" w:color="auto"/>
      </w:divBdr>
    </w:div>
    <w:div w:id="532231243">
      <w:bodyDiv w:val="1"/>
      <w:marLeft w:val="0"/>
      <w:marRight w:val="0"/>
      <w:marTop w:val="0"/>
      <w:marBottom w:val="0"/>
      <w:divBdr>
        <w:top w:val="none" w:sz="0" w:space="0" w:color="auto"/>
        <w:left w:val="none" w:sz="0" w:space="0" w:color="auto"/>
        <w:bottom w:val="none" w:sz="0" w:space="0" w:color="auto"/>
        <w:right w:val="none" w:sz="0" w:space="0" w:color="auto"/>
      </w:divBdr>
    </w:div>
    <w:div w:id="555237306">
      <w:bodyDiv w:val="1"/>
      <w:marLeft w:val="0"/>
      <w:marRight w:val="0"/>
      <w:marTop w:val="0"/>
      <w:marBottom w:val="0"/>
      <w:divBdr>
        <w:top w:val="none" w:sz="0" w:space="0" w:color="auto"/>
        <w:left w:val="none" w:sz="0" w:space="0" w:color="auto"/>
        <w:bottom w:val="none" w:sz="0" w:space="0" w:color="auto"/>
        <w:right w:val="none" w:sz="0" w:space="0" w:color="auto"/>
      </w:divBdr>
    </w:div>
    <w:div w:id="641159645">
      <w:bodyDiv w:val="1"/>
      <w:marLeft w:val="0"/>
      <w:marRight w:val="0"/>
      <w:marTop w:val="0"/>
      <w:marBottom w:val="0"/>
      <w:divBdr>
        <w:top w:val="none" w:sz="0" w:space="0" w:color="auto"/>
        <w:left w:val="none" w:sz="0" w:space="0" w:color="auto"/>
        <w:bottom w:val="none" w:sz="0" w:space="0" w:color="auto"/>
        <w:right w:val="none" w:sz="0" w:space="0" w:color="auto"/>
      </w:divBdr>
    </w:div>
    <w:div w:id="772826584">
      <w:bodyDiv w:val="1"/>
      <w:marLeft w:val="0"/>
      <w:marRight w:val="0"/>
      <w:marTop w:val="0"/>
      <w:marBottom w:val="0"/>
      <w:divBdr>
        <w:top w:val="none" w:sz="0" w:space="0" w:color="auto"/>
        <w:left w:val="none" w:sz="0" w:space="0" w:color="auto"/>
        <w:bottom w:val="none" w:sz="0" w:space="0" w:color="auto"/>
        <w:right w:val="none" w:sz="0" w:space="0" w:color="auto"/>
      </w:divBdr>
    </w:div>
    <w:div w:id="851147266">
      <w:bodyDiv w:val="1"/>
      <w:marLeft w:val="0"/>
      <w:marRight w:val="0"/>
      <w:marTop w:val="0"/>
      <w:marBottom w:val="0"/>
      <w:divBdr>
        <w:top w:val="none" w:sz="0" w:space="0" w:color="auto"/>
        <w:left w:val="none" w:sz="0" w:space="0" w:color="auto"/>
        <w:bottom w:val="none" w:sz="0" w:space="0" w:color="auto"/>
        <w:right w:val="none" w:sz="0" w:space="0" w:color="auto"/>
      </w:divBdr>
    </w:div>
    <w:div w:id="983006675">
      <w:bodyDiv w:val="1"/>
      <w:marLeft w:val="0"/>
      <w:marRight w:val="0"/>
      <w:marTop w:val="0"/>
      <w:marBottom w:val="0"/>
      <w:divBdr>
        <w:top w:val="none" w:sz="0" w:space="0" w:color="auto"/>
        <w:left w:val="none" w:sz="0" w:space="0" w:color="auto"/>
        <w:bottom w:val="none" w:sz="0" w:space="0" w:color="auto"/>
        <w:right w:val="none" w:sz="0" w:space="0" w:color="auto"/>
      </w:divBdr>
    </w:div>
    <w:div w:id="1019502629">
      <w:bodyDiv w:val="1"/>
      <w:marLeft w:val="0"/>
      <w:marRight w:val="0"/>
      <w:marTop w:val="0"/>
      <w:marBottom w:val="0"/>
      <w:divBdr>
        <w:top w:val="none" w:sz="0" w:space="0" w:color="auto"/>
        <w:left w:val="none" w:sz="0" w:space="0" w:color="auto"/>
        <w:bottom w:val="none" w:sz="0" w:space="0" w:color="auto"/>
        <w:right w:val="none" w:sz="0" w:space="0" w:color="auto"/>
      </w:divBdr>
    </w:div>
    <w:div w:id="1024599886">
      <w:bodyDiv w:val="1"/>
      <w:marLeft w:val="0"/>
      <w:marRight w:val="0"/>
      <w:marTop w:val="0"/>
      <w:marBottom w:val="0"/>
      <w:divBdr>
        <w:top w:val="none" w:sz="0" w:space="0" w:color="auto"/>
        <w:left w:val="none" w:sz="0" w:space="0" w:color="auto"/>
        <w:bottom w:val="none" w:sz="0" w:space="0" w:color="auto"/>
        <w:right w:val="none" w:sz="0" w:space="0" w:color="auto"/>
      </w:divBdr>
    </w:div>
    <w:div w:id="1072655225">
      <w:bodyDiv w:val="1"/>
      <w:marLeft w:val="0"/>
      <w:marRight w:val="0"/>
      <w:marTop w:val="0"/>
      <w:marBottom w:val="0"/>
      <w:divBdr>
        <w:top w:val="none" w:sz="0" w:space="0" w:color="auto"/>
        <w:left w:val="none" w:sz="0" w:space="0" w:color="auto"/>
        <w:bottom w:val="none" w:sz="0" w:space="0" w:color="auto"/>
        <w:right w:val="none" w:sz="0" w:space="0" w:color="auto"/>
      </w:divBdr>
    </w:div>
    <w:div w:id="1079407857">
      <w:bodyDiv w:val="1"/>
      <w:marLeft w:val="0"/>
      <w:marRight w:val="0"/>
      <w:marTop w:val="0"/>
      <w:marBottom w:val="0"/>
      <w:divBdr>
        <w:top w:val="none" w:sz="0" w:space="0" w:color="auto"/>
        <w:left w:val="none" w:sz="0" w:space="0" w:color="auto"/>
        <w:bottom w:val="none" w:sz="0" w:space="0" w:color="auto"/>
        <w:right w:val="none" w:sz="0" w:space="0" w:color="auto"/>
      </w:divBdr>
    </w:div>
    <w:div w:id="1114789596">
      <w:bodyDiv w:val="1"/>
      <w:marLeft w:val="0"/>
      <w:marRight w:val="0"/>
      <w:marTop w:val="0"/>
      <w:marBottom w:val="0"/>
      <w:divBdr>
        <w:top w:val="none" w:sz="0" w:space="0" w:color="auto"/>
        <w:left w:val="none" w:sz="0" w:space="0" w:color="auto"/>
        <w:bottom w:val="none" w:sz="0" w:space="0" w:color="auto"/>
        <w:right w:val="none" w:sz="0" w:space="0" w:color="auto"/>
      </w:divBdr>
    </w:div>
    <w:div w:id="1170294977">
      <w:bodyDiv w:val="1"/>
      <w:marLeft w:val="0"/>
      <w:marRight w:val="0"/>
      <w:marTop w:val="0"/>
      <w:marBottom w:val="0"/>
      <w:divBdr>
        <w:top w:val="none" w:sz="0" w:space="0" w:color="auto"/>
        <w:left w:val="none" w:sz="0" w:space="0" w:color="auto"/>
        <w:bottom w:val="none" w:sz="0" w:space="0" w:color="auto"/>
        <w:right w:val="none" w:sz="0" w:space="0" w:color="auto"/>
      </w:divBdr>
    </w:div>
    <w:div w:id="1194150717">
      <w:bodyDiv w:val="1"/>
      <w:marLeft w:val="0"/>
      <w:marRight w:val="0"/>
      <w:marTop w:val="0"/>
      <w:marBottom w:val="0"/>
      <w:divBdr>
        <w:top w:val="none" w:sz="0" w:space="0" w:color="auto"/>
        <w:left w:val="none" w:sz="0" w:space="0" w:color="auto"/>
        <w:bottom w:val="none" w:sz="0" w:space="0" w:color="auto"/>
        <w:right w:val="none" w:sz="0" w:space="0" w:color="auto"/>
      </w:divBdr>
    </w:div>
    <w:div w:id="1234123186">
      <w:bodyDiv w:val="1"/>
      <w:marLeft w:val="0"/>
      <w:marRight w:val="0"/>
      <w:marTop w:val="0"/>
      <w:marBottom w:val="0"/>
      <w:divBdr>
        <w:top w:val="none" w:sz="0" w:space="0" w:color="auto"/>
        <w:left w:val="none" w:sz="0" w:space="0" w:color="auto"/>
        <w:bottom w:val="none" w:sz="0" w:space="0" w:color="auto"/>
        <w:right w:val="none" w:sz="0" w:space="0" w:color="auto"/>
      </w:divBdr>
      <w:divsChild>
        <w:div w:id="400446055">
          <w:marLeft w:val="0"/>
          <w:marRight w:val="0"/>
          <w:marTop w:val="0"/>
          <w:marBottom w:val="0"/>
          <w:divBdr>
            <w:top w:val="none" w:sz="0" w:space="0" w:color="auto"/>
            <w:left w:val="none" w:sz="0" w:space="0" w:color="auto"/>
            <w:bottom w:val="none" w:sz="0" w:space="0" w:color="auto"/>
            <w:right w:val="none" w:sz="0" w:space="0" w:color="auto"/>
          </w:divBdr>
          <w:divsChild>
            <w:div w:id="663314826">
              <w:marLeft w:val="0"/>
              <w:marRight w:val="0"/>
              <w:marTop w:val="0"/>
              <w:marBottom w:val="0"/>
              <w:divBdr>
                <w:top w:val="none" w:sz="0" w:space="0" w:color="auto"/>
                <w:left w:val="none" w:sz="0" w:space="0" w:color="auto"/>
                <w:bottom w:val="none" w:sz="0" w:space="0" w:color="auto"/>
                <w:right w:val="none" w:sz="0" w:space="0" w:color="auto"/>
              </w:divBdr>
              <w:divsChild>
                <w:div w:id="378169556">
                  <w:marLeft w:val="0"/>
                  <w:marRight w:val="0"/>
                  <w:marTop w:val="0"/>
                  <w:marBottom w:val="0"/>
                  <w:divBdr>
                    <w:top w:val="none" w:sz="0" w:space="0" w:color="auto"/>
                    <w:left w:val="none" w:sz="0" w:space="0" w:color="auto"/>
                    <w:bottom w:val="none" w:sz="0" w:space="0" w:color="auto"/>
                    <w:right w:val="none" w:sz="0" w:space="0" w:color="auto"/>
                  </w:divBdr>
                  <w:divsChild>
                    <w:div w:id="2068719783">
                      <w:marLeft w:val="0"/>
                      <w:marRight w:val="0"/>
                      <w:marTop w:val="0"/>
                      <w:marBottom w:val="0"/>
                      <w:divBdr>
                        <w:top w:val="none" w:sz="0" w:space="0" w:color="auto"/>
                        <w:left w:val="none" w:sz="0" w:space="0" w:color="auto"/>
                        <w:bottom w:val="none" w:sz="0" w:space="0" w:color="auto"/>
                        <w:right w:val="none" w:sz="0" w:space="0" w:color="auto"/>
                      </w:divBdr>
                      <w:divsChild>
                        <w:div w:id="934216477">
                          <w:marLeft w:val="0"/>
                          <w:marRight w:val="0"/>
                          <w:marTop w:val="0"/>
                          <w:marBottom w:val="0"/>
                          <w:divBdr>
                            <w:top w:val="none" w:sz="0" w:space="0" w:color="auto"/>
                            <w:left w:val="none" w:sz="0" w:space="0" w:color="auto"/>
                            <w:bottom w:val="none" w:sz="0" w:space="0" w:color="auto"/>
                            <w:right w:val="none" w:sz="0" w:space="0" w:color="auto"/>
                          </w:divBdr>
                          <w:divsChild>
                            <w:div w:id="1241065039">
                              <w:marLeft w:val="0"/>
                              <w:marRight w:val="0"/>
                              <w:marTop w:val="0"/>
                              <w:marBottom w:val="0"/>
                              <w:divBdr>
                                <w:top w:val="none" w:sz="0" w:space="0" w:color="auto"/>
                                <w:left w:val="none" w:sz="0" w:space="0" w:color="auto"/>
                                <w:bottom w:val="none" w:sz="0" w:space="0" w:color="auto"/>
                                <w:right w:val="none" w:sz="0" w:space="0" w:color="auto"/>
                              </w:divBdr>
                              <w:divsChild>
                                <w:div w:id="716394680">
                                  <w:marLeft w:val="0"/>
                                  <w:marRight w:val="0"/>
                                  <w:marTop w:val="0"/>
                                  <w:marBottom w:val="0"/>
                                  <w:divBdr>
                                    <w:top w:val="none" w:sz="0" w:space="0" w:color="auto"/>
                                    <w:left w:val="none" w:sz="0" w:space="0" w:color="auto"/>
                                    <w:bottom w:val="none" w:sz="0" w:space="0" w:color="auto"/>
                                    <w:right w:val="none" w:sz="0" w:space="0" w:color="auto"/>
                                  </w:divBdr>
                                  <w:divsChild>
                                    <w:div w:id="1516269790">
                                      <w:marLeft w:val="0"/>
                                      <w:marRight w:val="0"/>
                                      <w:marTop w:val="0"/>
                                      <w:marBottom w:val="0"/>
                                      <w:divBdr>
                                        <w:top w:val="none" w:sz="0" w:space="0" w:color="auto"/>
                                        <w:left w:val="none" w:sz="0" w:space="0" w:color="auto"/>
                                        <w:bottom w:val="none" w:sz="0" w:space="0" w:color="auto"/>
                                        <w:right w:val="none" w:sz="0" w:space="0" w:color="auto"/>
                                      </w:divBdr>
                                      <w:divsChild>
                                        <w:div w:id="1385249245">
                                          <w:marLeft w:val="0"/>
                                          <w:marRight w:val="0"/>
                                          <w:marTop w:val="0"/>
                                          <w:marBottom w:val="0"/>
                                          <w:divBdr>
                                            <w:top w:val="none" w:sz="0" w:space="0" w:color="auto"/>
                                            <w:left w:val="none" w:sz="0" w:space="0" w:color="auto"/>
                                            <w:bottom w:val="none" w:sz="0" w:space="0" w:color="auto"/>
                                            <w:right w:val="none" w:sz="0" w:space="0" w:color="auto"/>
                                          </w:divBdr>
                                          <w:divsChild>
                                            <w:div w:id="1523713387">
                                              <w:marLeft w:val="0"/>
                                              <w:marRight w:val="0"/>
                                              <w:marTop w:val="0"/>
                                              <w:marBottom w:val="0"/>
                                              <w:divBdr>
                                                <w:top w:val="none" w:sz="0" w:space="0" w:color="auto"/>
                                                <w:left w:val="none" w:sz="0" w:space="0" w:color="auto"/>
                                                <w:bottom w:val="none" w:sz="0" w:space="0" w:color="auto"/>
                                                <w:right w:val="none" w:sz="0" w:space="0" w:color="auto"/>
                                              </w:divBdr>
                                              <w:divsChild>
                                                <w:div w:id="1308626797">
                                                  <w:marLeft w:val="0"/>
                                                  <w:marRight w:val="0"/>
                                                  <w:marTop w:val="0"/>
                                                  <w:marBottom w:val="0"/>
                                                  <w:divBdr>
                                                    <w:top w:val="none" w:sz="0" w:space="0" w:color="auto"/>
                                                    <w:left w:val="none" w:sz="0" w:space="0" w:color="auto"/>
                                                    <w:bottom w:val="none" w:sz="0" w:space="0" w:color="auto"/>
                                                    <w:right w:val="none" w:sz="0" w:space="0" w:color="auto"/>
                                                  </w:divBdr>
                                                  <w:divsChild>
                                                    <w:div w:id="1743990629">
                                                      <w:marLeft w:val="0"/>
                                                      <w:marRight w:val="0"/>
                                                      <w:marTop w:val="0"/>
                                                      <w:marBottom w:val="0"/>
                                                      <w:divBdr>
                                                        <w:top w:val="none" w:sz="0" w:space="0" w:color="auto"/>
                                                        <w:left w:val="none" w:sz="0" w:space="0" w:color="auto"/>
                                                        <w:bottom w:val="none" w:sz="0" w:space="0" w:color="auto"/>
                                                        <w:right w:val="none" w:sz="0" w:space="0" w:color="auto"/>
                                                      </w:divBdr>
                                                      <w:divsChild>
                                                        <w:div w:id="539635428">
                                                          <w:marLeft w:val="0"/>
                                                          <w:marRight w:val="0"/>
                                                          <w:marTop w:val="0"/>
                                                          <w:marBottom w:val="0"/>
                                                          <w:divBdr>
                                                            <w:top w:val="none" w:sz="0" w:space="0" w:color="auto"/>
                                                            <w:left w:val="none" w:sz="0" w:space="0" w:color="auto"/>
                                                            <w:bottom w:val="none" w:sz="0" w:space="0" w:color="auto"/>
                                                            <w:right w:val="none" w:sz="0" w:space="0" w:color="auto"/>
                                                          </w:divBdr>
                                                          <w:divsChild>
                                                            <w:div w:id="153110974">
                                                              <w:marLeft w:val="0"/>
                                                              <w:marRight w:val="0"/>
                                                              <w:marTop w:val="0"/>
                                                              <w:marBottom w:val="0"/>
                                                              <w:divBdr>
                                                                <w:top w:val="none" w:sz="0" w:space="0" w:color="auto"/>
                                                                <w:left w:val="none" w:sz="0" w:space="0" w:color="auto"/>
                                                                <w:bottom w:val="none" w:sz="0" w:space="0" w:color="auto"/>
                                                                <w:right w:val="none" w:sz="0" w:space="0" w:color="auto"/>
                                                              </w:divBdr>
                                                              <w:divsChild>
                                                                <w:div w:id="786196210">
                                                                  <w:marLeft w:val="0"/>
                                                                  <w:marRight w:val="0"/>
                                                                  <w:marTop w:val="0"/>
                                                                  <w:marBottom w:val="0"/>
                                                                  <w:divBdr>
                                                                    <w:top w:val="none" w:sz="0" w:space="0" w:color="auto"/>
                                                                    <w:left w:val="none" w:sz="0" w:space="0" w:color="auto"/>
                                                                    <w:bottom w:val="none" w:sz="0" w:space="0" w:color="auto"/>
                                                                    <w:right w:val="none" w:sz="0" w:space="0" w:color="auto"/>
                                                                  </w:divBdr>
                                                                  <w:divsChild>
                                                                    <w:div w:id="7901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970861">
                                          <w:marLeft w:val="0"/>
                                          <w:marRight w:val="0"/>
                                          <w:marTop w:val="0"/>
                                          <w:marBottom w:val="0"/>
                                          <w:divBdr>
                                            <w:top w:val="none" w:sz="0" w:space="0" w:color="auto"/>
                                            <w:left w:val="none" w:sz="0" w:space="0" w:color="auto"/>
                                            <w:bottom w:val="none" w:sz="0" w:space="0" w:color="auto"/>
                                            <w:right w:val="none" w:sz="0" w:space="0" w:color="auto"/>
                                          </w:divBdr>
                                          <w:divsChild>
                                            <w:div w:id="1802456056">
                                              <w:marLeft w:val="0"/>
                                              <w:marRight w:val="0"/>
                                              <w:marTop w:val="0"/>
                                              <w:marBottom w:val="0"/>
                                              <w:divBdr>
                                                <w:top w:val="none" w:sz="0" w:space="0" w:color="auto"/>
                                                <w:left w:val="none" w:sz="0" w:space="0" w:color="auto"/>
                                                <w:bottom w:val="none" w:sz="0" w:space="0" w:color="auto"/>
                                                <w:right w:val="none" w:sz="0" w:space="0" w:color="auto"/>
                                              </w:divBdr>
                                              <w:divsChild>
                                                <w:div w:id="1266961396">
                                                  <w:marLeft w:val="0"/>
                                                  <w:marRight w:val="0"/>
                                                  <w:marTop w:val="0"/>
                                                  <w:marBottom w:val="0"/>
                                                  <w:divBdr>
                                                    <w:top w:val="none" w:sz="0" w:space="0" w:color="auto"/>
                                                    <w:left w:val="none" w:sz="0" w:space="0" w:color="auto"/>
                                                    <w:bottom w:val="none" w:sz="0" w:space="0" w:color="auto"/>
                                                    <w:right w:val="none" w:sz="0" w:space="0" w:color="auto"/>
                                                  </w:divBdr>
                                                  <w:divsChild>
                                                    <w:div w:id="300959784">
                                                      <w:marLeft w:val="0"/>
                                                      <w:marRight w:val="0"/>
                                                      <w:marTop w:val="0"/>
                                                      <w:marBottom w:val="0"/>
                                                      <w:divBdr>
                                                        <w:top w:val="none" w:sz="0" w:space="0" w:color="auto"/>
                                                        <w:left w:val="none" w:sz="0" w:space="0" w:color="auto"/>
                                                        <w:bottom w:val="none" w:sz="0" w:space="0" w:color="auto"/>
                                                        <w:right w:val="none" w:sz="0" w:space="0" w:color="auto"/>
                                                      </w:divBdr>
                                                      <w:divsChild>
                                                        <w:div w:id="1678657314">
                                                          <w:marLeft w:val="0"/>
                                                          <w:marRight w:val="0"/>
                                                          <w:marTop w:val="0"/>
                                                          <w:marBottom w:val="0"/>
                                                          <w:divBdr>
                                                            <w:top w:val="none" w:sz="0" w:space="0" w:color="auto"/>
                                                            <w:left w:val="none" w:sz="0" w:space="0" w:color="auto"/>
                                                            <w:bottom w:val="none" w:sz="0" w:space="0" w:color="auto"/>
                                                            <w:right w:val="none" w:sz="0" w:space="0" w:color="auto"/>
                                                          </w:divBdr>
                                                          <w:divsChild>
                                                            <w:div w:id="1989237819">
                                                              <w:marLeft w:val="0"/>
                                                              <w:marRight w:val="0"/>
                                                              <w:marTop w:val="0"/>
                                                              <w:marBottom w:val="0"/>
                                                              <w:divBdr>
                                                                <w:top w:val="none" w:sz="0" w:space="0" w:color="auto"/>
                                                                <w:left w:val="none" w:sz="0" w:space="0" w:color="auto"/>
                                                                <w:bottom w:val="none" w:sz="0" w:space="0" w:color="auto"/>
                                                                <w:right w:val="none" w:sz="0" w:space="0" w:color="auto"/>
                                                              </w:divBdr>
                                                              <w:divsChild>
                                                                <w:div w:id="1110398815">
                                                                  <w:marLeft w:val="0"/>
                                                                  <w:marRight w:val="0"/>
                                                                  <w:marTop w:val="0"/>
                                                                  <w:marBottom w:val="0"/>
                                                                  <w:divBdr>
                                                                    <w:top w:val="none" w:sz="0" w:space="0" w:color="auto"/>
                                                                    <w:left w:val="none" w:sz="0" w:space="0" w:color="auto"/>
                                                                    <w:bottom w:val="none" w:sz="0" w:space="0" w:color="auto"/>
                                                                    <w:right w:val="none" w:sz="0" w:space="0" w:color="auto"/>
                                                                  </w:divBdr>
                                                                  <w:divsChild>
                                                                    <w:div w:id="1247809842">
                                                                      <w:marLeft w:val="0"/>
                                                                      <w:marRight w:val="0"/>
                                                                      <w:marTop w:val="0"/>
                                                                      <w:marBottom w:val="0"/>
                                                                      <w:divBdr>
                                                                        <w:top w:val="none" w:sz="0" w:space="0" w:color="auto"/>
                                                                        <w:left w:val="none" w:sz="0" w:space="0" w:color="auto"/>
                                                                        <w:bottom w:val="none" w:sz="0" w:space="0" w:color="auto"/>
                                                                        <w:right w:val="none" w:sz="0" w:space="0" w:color="auto"/>
                                                                      </w:divBdr>
                                                                      <w:divsChild>
                                                                        <w:div w:id="1589651344">
                                                                          <w:marLeft w:val="0"/>
                                                                          <w:marRight w:val="0"/>
                                                                          <w:marTop w:val="0"/>
                                                                          <w:marBottom w:val="0"/>
                                                                          <w:divBdr>
                                                                            <w:top w:val="none" w:sz="0" w:space="0" w:color="auto"/>
                                                                            <w:left w:val="none" w:sz="0" w:space="0" w:color="auto"/>
                                                                            <w:bottom w:val="none" w:sz="0" w:space="0" w:color="auto"/>
                                                                            <w:right w:val="none" w:sz="0" w:space="0" w:color="auto"/>
                                                                          </w:divBdr>
                                                                          <w:divsChild>
                                                                            <w:div w:id="1218974010">
                                                                              <w:marLeft w:val="0"/>
                                                                              <w:marRight w:val="0"/>
                                                                              <w:marTop w:val="0"/>
                                                                              <w:marBottom w:val="0"/>
                                                                              <w:divBdr>
                                                                                <w:top w:val="none" w:sz="0" w:space="0" w:color="auto"/>
                                                                                <w:left w:val="none" w:sz="0" w:space="0" w:color="auto"/>
                                                                                <w:bottom w:val="none" w:sz="0" w:space="0" w:color="auto"/>
                                                                                <w:right w:val="none" w:sz="0" w:space="0" w:color="auto"/>
                                                                              </w:divBdr>
                                                                              <w:divsChild>
                                                                                <w:div w:id="1043795530">
                                                                                  <w:marLeft w:val="0"/>
                                                                                  <w:marRight w:val="0"/>
                                                                                  <w:marTop w:val="0"/>
                                                                                  <w:marBottom w:val="0"/>
                                                                                  <w:divBdr>
                                                                                    <w:top w:val="none" w:sz="0" w:space="0" w:color="auto"/>
                                                                                    <w:left w:val="none" w:sz="0" w:space="0" w:color="auto"/>
                                                                                    <w:bottom w:val="none" w:sz="0" w:space="0" w:color="auto"/>
                                                                                    <w:right w:val="none" w:sz="0" w:space="0" w:color="auto"/>
                                                                                  </w:divBdr>
                                                                                  <w:divsChild>
                                                                                    <w:div w:id="18129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948517">
      <w:bodyDiv w:val="1"/>
      <w:marLeft w:val="0"/>
      <w:marRight w:val="0"/>
      <w:marTop w:val="0"/>
      <w:marBottom w:val="0"/>
      <w:divBdr>
        <w:top w:val="none" w:sz="0" w:space="0" w:color="auto"/>
        <w:left w:val="none" w:sz="0" w:space="0" w:color="auto"/>
        <w:bottom w:val="none" w:sz="0" w:space="0" w:color="auto"/>
        <w:right w:val="none" w:sz="0" w:space="0" w:color="auto"/>
      </w:divBdr>
    </w:div>
    <w:div w:id="1417090245">
      <w:bodyDiv w:val="1"/>
      <w:marLeft w:val="0"/>
      <w:marRight w:val="0"/>
      <w:marTop w:val="0"/>
      <w:marBottom w:val="0"/>
      <w:divBdr>
        <w:top w:val="none" w:sz="0" w:space="0" w:color="auto"/>
        <w:left w:val="none" w:sz="0" w:space="0" w:color="auto"/>
        <w:bottom w:val="none" w:sz="0" w:space="0" w:color="auto"/>
        <w:right w:val="none" w:sz="0" w:space="0" w:color="auto"/>
      </w:divBdr>
    </w:div>
    <w:div w:id="1439716823">
      <w:bodyDiv w:val="1"/>
      <w:marLeft w:val="0"/>
      <w:marRight w:val="0"/>
      <w:marTop w:val="0"/>
      <w:marBottom w:val="0"/>
      <w:divBdr>
        <w:top w:val="none" w:sz="0" w:space="0" w:color="auto"/>
        <w:left w:val="none" w:sz="0" w:space="0" w:color="auto"/>
        <w:bottom w:val="none" w:sz="0" w:space="0" w:color="auto"/>
        <w:right w:val="none" w:sz="0" w:space="0" w:color="auto"/>
      </w:divBdr>
    </w:div>
    <w:div w:id="1445226447">
      <w:bodyDiv w:val="1"/>
      <w:marLeft w:val="0"/>
      <w:marRight w:val="0"/>
      <w:marTop w:val="0"/>
      <w:marBottom w:val="0"/>
      <w:divBdr>
        <w:top w:val="none" w:sz="0" w:space="0" w:color="auto"/>
        <w:left w:val="none" w:sz="0" w:space="0" w:color="auto"/>
        <w:bottom w:val="none" w:sz="0" w:space="0" w:color="auto"/>
        <w:right w:val="none" w:sz="0" w:space="0" w:color="auto"/>
      </w:divBdr>
    </w:div>
    <w:div w:id="1451435117">
      <w:bodyDiv w:val="1"/>
      <w:marLeft w:val="0"/>
      <w:marRight w:val="0"/>
      <w:marTop w:val="0"/>
      <w:marBottom w:val="0"/>
      <w:divBdr>
        <w:top w:val="none" w:sz="0" w:space="0" w:color="auto"/>
        <w:left w:val="none" w:sz="0" w:space="0" w:color="auto"/>
        <w:bottom w:val="none" w:sz="0" w:space="0" w:color="auto"/>
        <w:right w:val="none" w:sz="0" w:space="0" w:color="auto"/>
      </w:divBdr>
    </w:div>
    <w:div w:id="1507015775">
      <w:bodyDiv w:val="1"/>
      <w:marLeft w:val="0"/>
      <w:marRight w:val="0"/>
      <w:marTop w:val="0"/>
      <w:marBottom w:val="0"/>
      <w:divBdr>
        <w:top w:val="none" w:sz="0" w:space="0" w:color="auto"/>
        <w:left w:val="none" w:sz="0" w:space="0" w:color="auto"/>
        <w:bottom w:val="none" w:sz="0" w:space="0" w:color="auto"/>
        <w:right w:val="none" w:sz="0" w:space="0" w:color="auto"/>
      </w:divBdr>
    </w:div>
    <w:div w:id="1508515571">
      <w:bodyDiv w:val="1"/>
      <w:marLeft w:val="0"/>
      <w:marRight w:val="0"/>
      <w:marTop w:val="0"/>
      <w:marBottom w:val="0"/>
      <w:divBdr>
        <w:top w:val="none" w:sz="0" w:space="0" w:color="auto"/>
        <w:left w:val="none" w:sz="0" w:space="0" w:color="auto"/>
        <w:bottom w:val="none" w:sz="0" w:space="0" w:color="auto"/>
        <w:right w:val="none" w:sz="0" w:space="0" w:color="auto"/>
      </w:divBdr>
      <w:divsChild>
        <w:div w:id="1411273196">
          <w:marLeft w:val="0"/>
          <w:marRight w:val="0"/>
          <w:marTop w:val="0"/>
          <w:marBottom w:val="0"/>
          <w:divBdr>
            <w:top w:val="none" w:sz="0" w:space="0" w:color="auto"/>
            <w:left w:val="none" w:sz="0" w:space="0" w:color="auto"/>
            <w:bottom w:val="none" w:sz="0" w:space="0" w:color="auto"/>
            <w:right w:val="none" w:sz="0" w:space="0" w:color="auto"/>
          </w:divBdr>
          <w:divsChild>
            <w:div w:id="1072852268">
              <w:marLeft w:val="0"/>
              <w:marRight w:val="0"/>
              <w:marTop w:val="0"/>
              <w:marBottom w:val="0"/>
              <w:divBdr>
                <w:top w:val="none" w:sz="0" w:space="0" w:color="auto"/>
                <w:left w:val="none" w:sz="0" w:space="0" w:color="auto"/>
                <w:bottom w:val="none" w:sz="0" w:space="0" w:color="auto"/>
                <w:right w:val="none" w:sz="0" w:space="0" w:color="auto"/>
              </w:divBdr>
              <w:divsChild>
                <w:div w:id="363332403">
                  <w:marLeft w:val="0"/>
                  <w:marRight w:val="0"/>
                  <w:marTop w:val="0"/>
                  <w:marBottom w:val="0"/>
                  <w:divBdr>
                    <w:top w:val="none" w:sz="0" w:space="0" w:color="auto"/>
                    <w:left w:val="none" w:sz="0" w:space="0" w:color="auto"/>
                    <w:bottom w:val="none" w:sz="0" w:space="0" w:color="auto"/>
                    <w:right w:val="none" w:sz="0" w:space="0" w:color="auto"/>
                  </w:divBdr>
                  <w:divsChild>
                    <w:div w:id="276303270">
                      <w:marLeft w:val="0"/>
                      <w:marRight w:val="0"/>
                      <w:marTop w:val="0"/>
                      <w:marBottom w:val="0"/>
                      <w:divBdr>
                        <w:top w:val="none" w:sz="0" w:space="0" w:color="auto"/>
                        <w:left w:val="none" w:sz="0" w:space="0" w:color="auto"/>
                        <w:bottom w:val="none" w:sz="0" w:space="0" w:color="auto"/>
                        <w:right w:val="none" w:sz="0" w:space="0" w:color="auto"/>
                      </w:divBdr>
                      <w:divsChild>
                        <w:div w:id="520432637">
                          <w:marLeft w:val="0"/>
                          <w:marRight w:val="0"/>
                          <w:marTop w:val="0"/>
                          <w:marBottom w:val="0"/>
                          <w:divBdr>
                            <w:top w:val="none" w:sz="0" w:space="0" w:color="auto"/>
                            <w:left w:val="none" w:sz="0" w:space="0" w:color="auto"/>
                            <w:bottom w:val="none" w:sz="0" w:space="0" w:color="auto"/>
                            <w:right w:val="none" w:sz="0" w:space="0" w:color="auto"/>
                          </w:divBdr>
                          <w:divsChild>
                            <w:div w:id="1309432983">
                              <w:marLeft w:val="0"/>
                              <w:marRight w:val="0"/>
                              <w:marTop w:val="0"/>
                              <w:marBottom w:val="0"/>
                              <w:divBdr>
                                <w:top w:val="none" w:sz="0" w:space="0" w:color="auto"/>
                                <w:left w:val="none" w:sz="0" w:space="0" w:color="auto"/>
                                <w:bottom w:val="none" w:sz="0" w:space="0" w:color="auto"/>
                                <w:right w:val="none" w:sz="0" w:space="0" w:color="auto"/>
                              </w:divBdr>
                              <w:divsChild>
                                <w:div w:id="1935241573">
                                  <w:marLeft w:val="0"/>
                                  <w:marRight w:val="0"/>
                                  <w:marTop w:val="0"/>
                                  <w:marBottom w:val="0"/>
                                  <w:divBdr>
                                    <w:top w:val="none" w:sz="0" w:space="0" w:color="auto"/>
                                    <w:left w:val="none" w:sz="0" w:space="0" w:color="auto"/>
                                    <w:bottom w:val="none" w:sz="0" w:space="0" w:color="auto"/>
                                    <w:right w:val="none" w:sz="0" w:space="0" w:color="auto"/>
                                  </w:divBdr>
                                  <w:divsChild>
                                    <w:div w:id="528177258">
                                      <w:marLeft w:val="0"/>
                                      <w:marRight w:val="0"/>
                                      <w:marTop w:val="0"/>
                                      <w:marBottom w:val="0"/>
                                      <w:divBdr>
                                        <w:top w:val="none" w:sz="0" w:space="0" w:color="auto"/>
                                        <w:left w:val="none" w:sz="0" w:space="0" w:color="auto"/>
                                        <w:bottom w:val="none" w:sz="0" w:space="0" w:color="auto"/>
                                        <w:right w:val="none" w:sz="0" w:space="0" w:color="auto"/>
                                      </w:divBdr>
                                      <w:divsChild>
                                        <w:div w:id="1165438877">
                                          <w:marLeft w:val="0"/>
                                          <w:marRight w:val="0"/>
                                          <w:marTop w:val="0"/>
                                          <w:marBottom w:val="0"/>
                                          <w:divBdr>
                                            <w:top w:val="none" w:sz="0" w:space="0" w:color="auto"/>
                                            <w:left w:val="none" w:sz="0" w:space="0" w:color="auto"/>
                                            <w:bottom w:val="none" w:sz="0" w:space="0" w:color="auto"/>
                                            <w:right w:val="none" w:sz="0" w:space="0" w:color="auto"/>
                                          </w:divBdr>
                                          <w:divsChild>
                                            <w:div w:id="1742096304">
                                              <w:marLeft w:val="0"/>
                                              <w:marRight w:val="0"/>
                                              <w:marTop w:val="0"/>
                                              <w:marBottom w:val="0"/>
                                              <w:divBdr>
                                                <w:top w:val="none" w:sz="0" w:space="0" w:color="auto"/>
                                                <w:left w:val="none" w:sz="0" w:space="0" w:color="auto"/>
                                                <w:bottom w:val="none" w:sz="0" w:space="0" w:color="auto"/>
                                                <w:right w:val="none" w:sz="0" w:space="0" w:color="auto"/>
                                              </w:divBdr>
                                              <w:divsChild>
                                                <w:div w:id="609161593">
                                                  <w:marLeft w:val="0"/>
                                                  <w:marRight w:val="0"/>
                                                  <w:marTop w:val="0"/>
                                                  <w:marBottom w:val="0"/>
                                                  <w:divBdr>
                                                    <w:top w:val="none" w:sz="0" w:space="0" w:color="auto"/>
                                                    <w:left w:val="none" w:sz="0" w:space="0" w:color="auto"/>
                                                    <w:bottom w:val="none" w:sz="0" w:space="0" w:color="auto"/>
                                                    <w:right w:val="none" w:sz="0" w:space="0" w:color="auto"/>
                                                  </w:divBdr>
                                                  <w:divsChild>
                                                    <w:div w:id="1174607441">
                                                      <w:marLeft w:val="0"/>
                                                      <w:marRight w:val="0"/>
                                                      <w:marTop w:val="0"/>
                                                      <w:marBottom w:val="0"/>
                                                      <w:divBdr>
                                                        <w:top w:val="none" w:sz="0" w:space="0" w:color="auto"/>
                                                        <w:left w:val="none" w:sz="0" w:space="0" w:color="auto"/>
                                                        <w:bottom w:val="none" w:sz="0" w:space="0" w:color="auto"/>
                                                        <w:right w:val="none" w:sz="0" w:space="0" w:color="auto"/>
                                                      </w:divBdr>
                                                      <w:divsChild>
                                                        <w:div w:id="2017029730">
                                                          <w:marLeft w:val="0"/>
                                                          <w:marRight w:val="0"/>
                                                          <w:marTop w:val="0"/>
                                                          <w:marBottom w:val="0"/>
                                                          <w:divBdr>
                                                            <w:top w:val="none" w:sz="0" w:space="0" w:color="auto"/>
                                                            <w:left w:val="none" w:sz="0" w:space="0" w:color="auto"/>
                                                            <w:bottom w:val="none" w:sz="0" w:space="0" w:color="auto"/>
                                                            <w:right w:val="none" w:sz="0" w:space="0" w:color="auto"/>
                                                          </w:divBdr>
                                                          <w:divsChild>
                                                            <w:div w:id="39480297">
                                                              <w:marLeft w:val="0"/>
                                                              <w:marRight w:val="0"/>
                                                              <w:marTop w:val="0"/>
                                                              <w:marBottom w:val="0"/>
                                                              <w:divBdr>
                                                                <w:top w:val="none" w:sz="0" w:space="0" w:color="auto"/>
                                                                <w:left w:val="none" w:sz="0" w:space="0" w:color="auto"/>
                                                                <w:bottom w:val="none" w:sz="0" w:space="0" w:color="auto"/>
                                                                <w:right w:val="none" w:sz="0" w:space="0" w:color="auto"/>
                                                              </w:divBdr>
                                                              <w:divsChild>
                                                                <w:div w:id="879433770">
                                                                  <w:marLeft w:val="0"/>
                                                                  <w:marRight w:val="0"/>
                                                                  <w:marTop w:val="0"/>
                                                                  <w:marBottom w:val="0"/>
                                                                  <w:divBdr>
                                                                    <w:top w:val="none" w:sz="0" w:space="0" w:color="auto"/>
                                                                    <w:left w:val="none" w:sz="0" w:space="0" w:color="auto"/>
                                                                    <w:bottom w:val="none" w:sz="0" w:space="0" w:color="auto"/>
                                                                    <w:right w:val="none" w:sz="0" w:space="0" w:color="auto"/>
                                                                  </w:divBdr>
                                                                  <w:divsChild>
                                                                    <w:div w:id="413279800">
                                                                      <w:marLeft w:val="0"/>
                                                                      <w:marRight w:val="0"/>
                                                                      <w:marTop w:val="0"/>
                                                                      <w:marBottom w:val="0"/>
                                                                      <w:divBdr>
                                                                        <w:top w:val="none" w:sz="0" w:space="0" w:color="auto"/>
                                                                        <w:left w:val="none" w:sz="0" w:space="0" w:color="auto"/>
                                                                        <w:bottom w:val="none" w:sz="0" w:space="0" w:color="auto"/>
                                                                        <w:right w:val="none" w:sz="0" w:space="0" w:color="auto"/>
                                                                      </w:divBdr>
                                                                      <w:divsChild>
                                                                        <w:div w:id="811213323">
                                                                          <w:marLeft w:val="0"/>
                                                                          <w:marRight w:val="0"/>
                                                                          <w:marTop w:val="0"/>
                                                                          <w:marBottom w:val="0"/>
                                                                          <w:divBdr>
                                                                            <w:top w:val="none" w:sz="0" w:space="0" w:color="auto"/>
                                                                            <w:left w:val="none" w:sz="0" w:space="0" w:color="auto"/>
                                                                            <w:bottom w:val="none" w:sz="0" w:space="0" w:color="auto"/>
                                                                            <w:right w:val="none" w:sz="0" w:space="0" w:color="auto"/>
                                                                          </w:divBdr>
                                                                          <w:divsChild>
                                                                            <w:div w:id="538401659">
                                                                              <w:marLeft w:val="0"/>
                                                                              <w:marRight w:val="0"/>
                                                                              <w:marTop w:val="0"/>
                                                                              <w:marBottom w:val="0"/>
                                                                              <w:divBdr>
                                                                                <w:top w:val="none" w:sz="0" w:space="0" w:color="auto"/>
                                                                                <w:left w:val="none" w:sz="0" w:space="0" w:color="auto"/>
                                                                                <w:bottom w:val="none" w:sz="0" w:space="0" w:color="auto"/>
                                                                                <w:right w:val="none" w:sz="0" w:space="0" w:color="auto"/>
                                                                              </w:divBdr>
                                                                              <w:divsChild>
                                                                                <w:div w:id="831918882">
                                                                                  <w:marLeft w:val="0"/>
                                                                                  <w:marRight w:val="0"/>
                                                                                  <w:marTop w:val="0"/>
                                                                                  <w:marBottom w:val="0"/>
                                                                                  <w:divBdr>
                                                                                    <w:top w:val="none" w:sz="0" w:space="0" w:color="auto"/>
                                                                                    <w:left w:val="none" w:sz="0" w:space="0" w:color="auto"/>
                                                                                    <w:bottom w:val="none" w:sz="0" w:space="0" w:color="auto"/>
                                                                                    <w:right w:val="none" w:sz="0" w:space="0" w:color="auto"/>
                                                                                  </w:divBdr>
                                                                                  <w:divsChild>
                                                                                    <w:div w:id="14762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243121">
                                          <w:marLeft w:val="0"/>
                                          <w:marRight w:val="0"/>
                                          <w:marTop w:val="0"/>
                                          <w:marBottom w:val="0"/>
                                          <w:divBdr>
                                            <w:top w:val="none" w:sz="0" w:space="0" w:color="auto"/>
                                            <w:left w:val="none" w:sz="0" w:space="0" w:color="auto"/>
                                            <w:bottom w:val="none" w:sz="0" w:space="0" w:color="auto"/>
                                            <w:right w:val="none" w:sz="0" w:space="0" w:color="auto"/>
                                          </w:divBdr>
                                          <w:divsChild>
                                            <w:div w:id="1291323829">
                                              <w:marLeft w:val="0"/>
                                              <w:marRight w:val="0"/>
                                              <w:marTop w:val="0"/>
                                              <w:marBottom w:val="0"/>
                                              <w:divBdr>
                                                <w:top w:val="none" w:sz="0" w:space="0" w:color="auto"/>
                                                <w:left w:val="none" w:sz="0" w:space="0" w:color="auto"/>
                                                <w:bottom w:val="none" w:sz="0" w:space="0" w:color="auto"/>
                                                <w:right w:val="none" w:sz="0" w:space="0" w:color="auto"/>
                                              </w:divBdr>
                                              <w:divsChild>
                                                <w:div w:id="2084721044">
                                                  <w:marLeft w:val="0"/>
                                                  <w:marRight w:val="0"/>
                                                  <w:marTop w:val="0"/>
                                                  <w:marBottom w:val="0"/>
                                                  <w:divBdr>
                                                    <w:top w:val="none" w:sz="0" w:space="0" w:color="auto"/>
                                                    <w:left w:val="none" w:sz="0" w:space="0" w:color="auto"/>
                                                    <w:bottom w:val="none" w:sz="0" w:space="0" w:color="auto"/>
                                                    <w:right w:val="none" w:sz="0" w:space="0" w:color="auto"/>
                                                  </w:divBdr>
                                                  <w:divsChild>
                                                    <w:div w:id="26609971">
                                                      <w:marLeft w:val="0"/>
                                                      <w:marRight w:val="0"/>
                                                      <w:marTop w:val="0"/>
                                                      <w:marBottom w:val="0"/>
                                                      <w:divBdr>
                                                        <w:top w:val="none" w:sz="0" w:space="0" w:color="auto"/>
                                                        <w:left w:val="none" w:sz="0" w:space="0" w:color="auto"/>
                                                        <w:bottom w:val="none" w:sz="0" w:space="0" w:color="auto"/>
                                                        <w:right w:val="none" w:sz="0" w:space="0" w:color="auto"/>
                                                      </w:divBdr>
                                                      <w:divsChild>
                                                        <w:div w:id="1044136274">
                                                          <w:marLeft w:val="0"/>
                                                          <w:marRight w:val="0"/>
                                                          <w:marTop w:val="0"/>
                                                          <w:marBottom w:val="0"/>
                                                          <w:divBdr>
                                                            <w:top w:val="none" w:sz="0" w:space="0" w:color="auto"/>
                                                            <w:left w:val="none" w:sz="0" w:space="0" w:color="auto"/>
                                                            <w:bottom w:val="none" w:sz="0" w:space="0" w:color="auto"/>
                                                            <w:right w:val="none" w:sz="0" w:space="0" w:color="auto"/>
                                                          </w:divBdr>
                                                          <w:divsChild>
                                                            <w:div w:id="313149226">
                                                              <w:marLeft w:val="0"/>
                                                              <w:marRight w:val="0"/>
                                                              <w:marTop w:val="0"/>
                                                              <w:marBottom w:val="0"/>
                                                              <w:divBdr>
                                                                <w:top w:val="none" w:sz="0" w:space="0" w:color="auto"/>
                                                                <w:left w:val="none" w:sz="0" w:space="0" w:color="auto"/>
                                                                <w:bottom w:val="none" w:sz="0" w:space="0" w:color="auto"/>
                                                                <w:right w:val="none" w:sz="0" w:space="0" w:color="auto"/>
                                                              </w:divBdr>
                                                              <w:divsChild>
                                                                <w:div w:id="2033802510">
                                                                  <w:marLeft w:val="0"/>
                                                                  <w:marRight w:val="0"/>
                                                                  <w:marTop w:val="0"/>
                                                                  <w:marBottom w:val="0"/>
                                                                  <w:divBdr>
                                                                    <w:top w:val="none" w:sz="0" w:space="0" w:color="auto"/>
                                                                    <w:left w:val="none" w:sz="0" w:space="0" w:color="auto"/>
                                                                    <w:bottom w:val="none" w:sz="0" w:space="0" w:color="auto"/>
                                                                    <w:right w:val="none" w:sz="0" w:space="0" w:color="auto"/>
                                                                  </w:divBdr>
                                                                  <w:divsChild>
                                                                    <w:div w:id="7157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1577542">
      <w:bodyDiv w:val="1"/>
      <w:marLeft w:val="0"/>
      <w:marRight w:val="0"/>
      <w:marTop w:val="0"/>
      <w:marBottom w:val="0"/>
      <w:divBdr>
        <w:top w:val="none" w:sz="0" w:space="0" w:color="auto"/>
        <w:left w:val="none" w:sz="0" w:space="0" w:color="auto"/>
        <w:bottom w:val="none" w:sz="0" w:space="0" w:color="auto"/>
        <w:right w:val="none" w:sz="0" w:space="0" w:color="auto"/>
      </w:divBdr>
    </w:div>
    <w:div w:id="1559785377">
      <w:bodyDiv w:val="1"/>
      <w:marLeft w:val="0"/>
      <w:marRight w:val="0"/>
      <w:marTop w:val="0"/>
      <w:marBottom w:val="0"/>
      <w:divBdr>
        <w:top w:val="none" w:sz="0" w:space="0" w:color="auto"/>
        <w:left w:val="none" w:sz="0" w:space="0" w:color="auto"/>
        <w:bottom w:val="none" w:sz="0" w:space="0" w:color="auto"/>
        <w:right w:val="none" w:sz="0" w:space="0" w:color="auto"/>
      </w:divBdr>
    </w:div>
    <w:div w:id="1574655368">
      <w:bodyDiv w:val="1"/>
      <w:marLeft w:val="0"/>
      <w:marRight w:val="0"/>
      <w:marTop w:val="0"/>
      <w:marBottom w:val="0"/>
      <w:divBdr>
        <w:top w:val="none" w:sz="0" w:space="0" w:color="auto"/>
        <w:left w:val="none" w:sz="0" w:space="0" w:color="auto"/>
        <w:bottom w:val="none" w:sz="0" w:space="0" w:color="auto"/>
        <w:right w:val="none" w:sz="0" w:space="0" w:color="auto"/>
      </w:divBdr>
    </w:div>
    <w:div w:id="1578635245">
      <w:bodyDiv w:val="1"/>
      <w:marLeft w:val="0"/>
      <w:marRight w:val="0"/>
      <w:marTop w:val="0"/>
      <w:marBottom w:val="0"/>
      <w:divBdr>
        <w:top w:val="none" w:sz="0" w:space="0" w:color="auto"/>
        <w:left w:val="none" w:sz="0" w:space="0" w:color="auto"/>
        <w:bottom w:val="none" w:sz="0" w:space="0" w:color="auto"/>
        <w:right w:val="none" w:sz="0" w:space="0" w:color="auto"/>
      </w:divBdr>
    </w:div>
    <w:div w:id="1583177642">
      <w:bodyDiv w:val="1"/>
      <w:marLeft w:val="0"/>
      <w:marRight w:val="0"/>
      <w:marTop w:val="0"/>
      <w:marBottom w:val="0"/>
      <w:divBdr>
        <w:top w:val="none" w:sz="0" w:space="0" w:color="auto"/>
        <w:left w:val="none" w:sz="0" w:space="0" w:color="auto"/>
        <w:bottom w:val="none" w:sz="0" w:space="0" w:color="auto"/>
        <w:right w:val="none" w:sz="0" w:space="0" w:color="auto"/>
      </w:divBdr>
    </w:div>
    <w:div w:id="1587301999">
      <w:bodyDiv w:val="1"/>
      <w:marLeft w:val="0"/>
      <w:marRight w:val="0"/>
      <w:marTop w:val="0"/>
      <w:marBottom w:val="0"/>
      <w:divBdr>
        <w:top w:val="none" w:sz="0" w:space="0" w:color="auto"/>
        <w:left w:val="none" w:sz="0" w:space="0" w:color="auto"/>
        <w:bottom w:val="none" w:sz="0" w:space="0" w:color="auto"/>
        <w:right w:val="none" w:sz="0" w:space="0" w:color="auto"/>
      </w:divBdr>
    </w:div>
    <w:div w:id="1642415973">
      <w:bodyDiv w:val="1"/>
      <w:marLeft w:val="0"/>
      <w:marRight w:val="0"/>
      <w:marTop w:val="0"/>
      <w:marBottom w:val="0"/>
      <w:divBdr>
        <w:top w:val="none" w:sz="0" w:space="0" w:color="auto"/>
        <w:left w:val="none" w:sz="0" w:space="0" w:color="auto"/>
        <w:bottom w:val="none" w:sz="0" w:space="0" w:color="auto"/>
        <w:right w:val="none" w:sz="0" w:space="0" w:color="auto"/>
      </w:divBdr>
    </w:div>
    <w:div w:id="1670063086">
      <w:bodyDiv w:val="1"/>
      <w:marLeft w:val="0"/>
      <w:marRight w:val="0"/>
      <w:marTop w:val="0"/>
      <w:marBottom w:val="0"/>
      <w:divBdr>
        <w:top w:val="none" w:sz="0" w:space="0" w:color="auto"/>
        <w:left w:val="none" w:sz="0" w:space="0" w:color="auto"/>
        <w:bottom w:val="none" w:sz="0" w:space="0" w:color="auto"/>
        <w:right w:val="none" w:sz="0" w:space="0" w:color="auto"/>
      </w:divBdr>
    </w:div>
    <w:div w:id="1671325491">
      <w:bodyDiv w:val="1"/>
      <w:marLeft w:val="0"/>
      <w:marRight w:val="0"/>
      <w:marTop w:val="0"/>
      <w:marBottom w:val="0"/>
      <w:divBdr>
        <w:top w:val="none" w:sz="0" w:space="0" w:color="auto"/>
        <w:left w:val="none" w:sz="0" w:space="0" w:color="auto"/>
        <w:bottom w:val="none" w:sz="0" w:space="0" w:color="auto"/>
        <w:right w:val="none" w:sz="0" w:space="0" w:color="auto"/>
      </w:divBdr>
    </w:div>
    <w:div w:id="1700425177">
      <w:bodyDiv w:val="1"/>
      <w:marLeft w:val="0"/>
      <w:marRight w:val="0"/>
      <w:marTop w:val="0"/>
      <w:marBottom w:val="0"/>
      <w:divBdr>
        <w:top w:val="none" w:sz="0" w:space="0" w:color="auto"/>
        <w:left w:val="none" w:sz="0" w:space="0" w:color="auto"/>
        <w:bottom w:val="none" w:sz="0" w:space="0" w:color="auto"/>
        <w:right w:val="none" w:sz="0" w:space="0" w:color="auto"/>
      </w:divBdr>
    </w:div>
    <w:div w:id="1794061171">
      <w:bodyDiv w:val="1"/>
      <w:marLeft w:val="0"/>
      <w:marRight w:val="0"/>
      <w:marTop w:val="0"/>
      <w:marBottom w:val="0"/>
      <w:divBdr>
        <w:top w:val="none" w:sz="0" w:space="0" w:color="auto"/>
        <w:left w:val="none" w:sz="0" w:space="0" w:color="auto"/>
        <w:bottom w:val="none" w:sz="0" w:space="0" w:color="auto"/>
        <w:right w:val="none" w:sz="0" w:space="0" w:color="auto"/>
      </w:divBdr>
    </w:div>
    <w:div w:id="1794135898">
      <w:bodyDiv w:val="1"/>
      <w:marLeft w:val="0"/>
      <w:marRight w:val="0"/>
      <w:marTop w:val="0"/>
      <w:marBottom w:val="0"/>
      <w:divBdr>
        <w:top w:val="none" w:sz="0" w:space="0" w:color="auto"/>
        <w:left w:val="none" w:sz="0" w:space="0" w:color="auto"/>
        <w:bottom w:val="none" w:sz="0" w:space="0" w:color="auto"/>
        <w:right w:val="none" w:sz="0" w:space="0" w:color="auto"/>
      </w:divBdr>
    </w:div>
    <w:div w:id="1810511757">
      <w:bodyDiv w:val="1"/>
      <w:marLeft w:val="0"/>
      <w:marRight w:val="0"/>
      <w:marTop w:val="0"/>
      <w:marBottom w:val="0"/>
      <w:divBdr>
        <w:top w:val="none" w:sz="0" w:space="0" w:color="auto"/>
        <w:left w:val="none" w:sz="0" w:space="0" w:color="auto"/>
        <w:bottom w:val="none" w:sz="0" w:space="0" w:color="auto"/>
        <w:right w:val="none" w:sz="0" w:space="0" w:color="auto"/>
      </w:divBdr>
    </w:div>
    <w:div w:id="1835142014">
      <w:bodyDiv w:val="1"/>
      <w:marLeft w:val="0"/>
      <w:marRight w:val="0"/>
      <w:marTop w:val="0"/>
      <w:marBottom w:val="0"/>
      <w:divBdr>
        <w:top w:val="none" w:sz="0" w:space="0" w:color="auto"/>
        <w:left w:val="none" w:sz="0" w:space="0" w:color="auto"/>
        <w:bottom w:val="none" w:sz="0" w:space="0" w:color="auto"/>
        <w:right w:val="none" w:sz="0" w:space="0" w:color="auto"/>
      </w:divBdr>
    </w:div>
    <w:div w:id="1849632181">
      <w:bodyDiv w:val="1"/>
      <w:marLeft w:val="0"/>
      <w:marRight w:val="0"/>
      <w:marTop w:val="0"/>
      <w:marBottom w:val="0"/>
      <w:divBdr>
        <w:top w:val="none" w:sz="0" w:space="0" w:color="auto"/>
        <w:left w:val="none" w:sz="0" w:space="0" w:color="auto"/>
        <w:bottom w:val="none" w:sz="0" w:space="0" w:color="auto"/>
        <w:right w:val="none" w:sz="0" w:space="0" w:color="auto"/>
      </w:divBdr>
    </w:div>
    <w:div w:id="1863518461">
      <w:bodyDiv w:val="1"/>
      <w:marLeft w:val="0"/>
      <w:marRight w:val="0"/>
      <w:marTop w:val="0"/>
      <w:marBottom w:val="0"/>
      <w:divBdr>
        <w:top w:val="none" w:sz="0" w:space="0" w:color="auto"/>
        <w:left w:val="none" w:sz="0" w:space="0" w:color="auto"/>
        <w:bottom w:val="none" w:sz="0" w:space="0" w:color="auto"/>
        <w:right w:val="none" w:sz="0" w:space="0" w:color="auto"/>
      </w:divBdr>
      <w:divsChild>
        <w:div w:id="258490402">
          <w:marLeft w:val="0"/>
          <w:marRight w:val="0"/>
          <w:marTop w:val="0"/>
          <w:marBottom w:val="0"/>
          <w:divBdr>
            <w:top w:val="none" w:sz="0" w:space="0" w:color="auto"/>
            <w:left w:val="none" w:sz="0" w:space="0" w:color="auto"/>
            <w:bottom w:val="none" w:sz="0" w:space="0" w:color="auto"/>
            <w:right w:val="none" w:sz="0" w:space="0" w:color="auto"/>
          </w:divBdr>
          <w:divsChild>
            <w:div w:id="1527407630">
              <w:marLeft w:val="0"/>
              <w:marRight w:val="0"/>
              <w:marTop w:val="0"/>
              <w:marBottom w:val="0"/>
              <w:divBdr>
                <w:top w:val="none" w:sz="0" w:space="0" w:color="auto"/>
                <w:left w:val="none" w:sz="0" w:space="0" w:color="auto"/>
                <w:bottom w:val="none" w:sz="0" w:space="0" w:color="auto"/>
                <w:right w:val="none" w:sz="0" w:space="0" w:color="auto"/>
              </w:divBdr>
              <w:divsChild>
                <w:div w:id="630209239">
                  <w:marLeft w:val="0"/>
                  <w:marRight w:val="0"/>
                  <w:marTop w:val="0"/>
                  <w:marBottom w:val="0"/>
                  <w:divBdr>
                    <w:top w:val="none" w:sz="0" w:space="0" w:color="auto"/>
                    <w:left w:val="none" w:sz="0" w:space="0" w:color="auto"/>
                    <w:bottom w:val="none" w:sz="0" w:space="0" w:color="auto"/>
                    <w:right w:val="none" w:sz="0" w:space="0" w:color="auto"/>
                  </w:divBdr>
                  <w:divsChild>
                    <w:div w:id="1364935772">
                      <w:marLeft w:val="0"/>
                      <w:marRight w:val="0"/>
                      <w:marTop w:val="0"/>
                      <w:marBottom w:val="0"/>
                      <w:divBdr>
                        <w:top w:val="none" w:sz="0" w:space="0" w:color="auto"/>
                        <w:left w:val="none" w:sz="0" w:space="0" w:color="auto"/>
                        <w:bottom w:val="none" w:sz="0" w:space="0" w:color="auto"/>
                        <w:right w:val="none" w:sz="0" w:space="0" w:color="auto"/>
                      </w:divBdr>
                      <w:divsChild>
                        <w:div w:id="864100233">
                          <w:marLeft w:val="0"/>
                          <w:marRight w:val="0"/>
                          <w:marTop w:val="0"/>
                          <w:marBottom w:val="0"/>
                          <w:divBdr>
                            <w:top w:val="none" w:sz="0" w:space="0" w:color="auto"/>
                            <w:left w:val="none" w:sz="0" w:space="0" w:color="auto"/>
                            <w:bottom w:val="none" w:sz="0" w:space="0" w:color="auto"/>
                            <w:right w:val="none" w:sz="0" w:space="0" w:color="auto"/>
                          </w:divBdr>
                          <w:divsChild>
                            <w:div w:id="11569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223300">
      <w:bodyDiv w:val="1"/>
      <w:marLeft w:val="0"/>
      <w:marRight w:val="0"/>
      <w:marTop w:val="0"/>
      <w:marBottom w:val="0"/>
      <w:divBdr>
        <w:top w:val="none" w:sz="0" w:space="0" w:color="auto"/>
        <w:left w:val="none" w:sz="0" w:space="0" w:color="auto"/>
        <w:bottom w:val="none" w:sz="0" w:space="0" w:color="auto"/>
        <w:right w:val="none" w:sz="0" w:space="0" w:color="auto"/>
      </w:divBdr>
    </w:div>
    <w:div w:id="1919902084">
      <w:bodyDiv w:val="1"/>
      <w:marLeft w:val="0"/>
      <w:marRight w:val="0"/>
      <w:marTop w:val="0"/>
      <w:marBottom w:val="0"/>
      <w:divBdr>
        <w:top w:val="none" w:sz="0" w:space="0" w:color="auto"/>
        <w:left w:val="none" w:sz="0" w:space="0" w:color="auto"/>
        <w:bottom w:val="none" w:sz="0" w:space="0" w:color="auto"/>
        <w:right w:val="none" w:sz="0" w:space="0" w:color="auto"/>
      </w:divBdr>
    </w:div>
    <w:div w:id="1986397286">
      <w:bodyDiv w:val="1"/>
      <w:marLeft w:val="0"/>
      <w:marRight w:val="0"/>
      <w:marTop w:val="0"/>
      <w:marBottom w:val="0"/>
      <w:divBdr>
        <w:top w:val="none" w:sz="0" w:space="0" w:color="auto"/>
        <w:left w:val="none" w:sz="0" w:space="0" w:color="auto"/>
        <w:bottom w:val="none" w:sz="0" w:space="0" w:color="auto"/>
        <w:right w:val="none" w:sz="0" w:space="0" w:color="auto"/>
      </w:divBdr>
    </w:div>
    <w:div w:id="2027557551">
      <w:bodyDiv w:val="1"/>
      <w:marLeft w:val="0"/>
      <w:marRight w:val="0"/>
      <w:marTop w:val="0"/>
      <w:marBottom w:val="0"/>
      <w:divBdr>
        <w:top w:val="none" w:sz="0" w:space="0" w:color="auto"/>
        <w:left w:val="none" w:sz="0" w:space="0" w:color="auto"/>
        <w:bottom w:val="none" w:sz="0" w:space="0" w:color="auto"/>
        <w:right w:val="none" w:sz="0" w:space="0" w:color="auto"/>
      </w:divBdr>
    </w:div>
    <w:div w:id="2048141057">
      <w:bodyDiv w:val="1"/>
      <w:marLeft w:val="0"/>
      <w:marRight w:val="0"/>
      <w:marTop w:val="0"/>
      <w:marBottom w:val="0"/>
      <w:divBdr>
        <w:top w:val="none" w:sz="0" w:space="0" w:color="auto"/>
        <w:left w:val="none" w:sz="0" w:space="0" w:color="auto"/>
        <w:bottom w:val="none" w:sz="0" w:space="0" w:color="auto"/>
        <w:right w:val="none" w:sz="0" w:space="0" w:color="auto"/>
      </w:divBdr>
    </w:div>
    <w:div w:id="2076853707">
      <w:bodyDiv w:val="1"/>
      <w:marLeft w:val="0"/>
      <w:marRight w:val="0"/>
      <w:marTop w:val="0"/>
      <w:marBottom w:val="0"/>
      <w:divBdr>
        <w:top w:val="none" w:sz="0" w:space="0" w:color="auto"/>
        <w:left w:val="none" w:sz="0" w:space="0" w:color="auto"/>
        <w:bottom w:val="none" w:sz="0" w:space="0" w:color="auto"/>
        <w:right w:val="none" w:sz="0" w:space="0" w:color="auto"/>
      </w:divBdr>
    </w:div>
    <w:div w:id="21121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1919</TotalTime>
  <Pages>26</Pages>
  <Words>11446</Words>
  <Characters>65244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165</cp:revision>
  <dcterms:created xsi:type="dcterms:W3CDTF">2026-04-24T05:04:00Z</dcterms:created>
  <dcterms:modified xsi:type="dcterms:W3CDTF">2026-05-31T04:47:00Z</dcterms:modified>
</cp:coreProperties>
</file>